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A311" w14:textId="77777777" w:rsidR="00EA1D64" w:rsidRPr="00BB5DB6" w:rsidRDefault="00EA1D64" w:rsidP="00EA1D64">
      <w:pPr>
        <w:pStyle w:val="Corpsdetexte"/>
        <w:spacing w:before="166"/>
        <w:ind w:left="232"/>
        <w:contextualSpacing/>
        <w:jc w:val="center"/>
        <w:rPr>
          <w:rFonts w:asciiTheme="minorHAnsi" w:hAnsiTheme="minorHAnsi" w:cstheme="minorHAnsi"/>
          <w:b/>
          <w:bCs/>
          <w:color w:val="4F81BD" w:themeColor="accent1"/>
          <w:w w:val="85"/>
          <w:sz w:val="28"/>
          <w:szCs w:val="40"/>
        </w:rPr>
      </w:pPr>
      <w:r w:rsidRPr="00BB5DB6">
        <w:rPr>
          <w:rFonts w:asciiTheme="minorHAnsi" w:hAnsiTheme="minorHAnsi" w:cstheme="minorHAnsi"/>
          <w:b/>
          <w:bCs/>
          <w:color w:val="4F81BD" w:themeColor="accent1"/>
          <w:w w:val="85"/>
          <w:sz w:val="28"/>
          <w:szCs w:val="40"/>
        </w:rPr>
        <w:t>Offre de stage M</w:t>
      </w:r>
      <w:r w:rsidR="00D070E5">
        <w:rPr>
          <w:rFonts w:asciiTheme="minorHAnsi" w:hAnsiTheme="minorHAnsi" w:cstheme="minorHAnsi"/>
          <w:b/>
          <w:bCs/>
          <w:color w:val="4F81BD" w:themeColor="accent1"/>
          <w:w w:val="85"/>
          <w:sz w:val="28"/>
          <w:szCs w:val="40"/>
        </w:rPr>
        <w:t>2</w:t>
      </w:r>
      <w:r w:rsidRPr="00BB5DB6">
        <w:rPr>
          <w:rFonts w:asciiTheme="minorHAnsi" w:hAnsiTheme="minorHAnsi" w:cstheme="minorHAnsi"/>
          <w:b/>
          <w:bCs/>
          <w:color w:val="4F81BD" w:themeColor="accent1"/>
          <w:w w:val="85"/>
          <w:sz w:val="28"/>
          <w:szCs w:val="40"/>
        </w:rPr>
        <w:t xml:space="preserve"> Cursus Master/Doctorat</w:t>
      </w:r>
    </w:p>
    <w:p w14:paraId="179AA64F" w14:textId="77777777" w:rsidR="00EA1D64" w:rsidRPr="00BB5DB6" w:rsidRDefault="00EA1D64" w:rsidP="00EA1D64">
      <w:pPr>
        <w:pStyle w:val="Corpsdetexte"/>
        <w:spacing w:before="166"/>
        <w:ind w:left="232"/>
        <w:contextualSpacing/>
        <w:jc w:val="center"/>
        <w:rPr>
          <w:rFonts w:asciiTheme="minorHAnsi" w:hAnsiTheme="minorHAnsi" w:cstheme="minorHAnsi"/>
          <w:b/>
          <w:bCs/>
          <w:color w:val="4F81BD" w:themeColor="accent1"/>
          <w:w w:val="85"/>
          <w:sz w:val="28"/>
          <w:szCs w:val="40"/>
        </w:rPr>
      </w:pPr>
      <w:r w:rsidRPr="00BB5DB6">
        <w:rPr>
          <w:rFonts w:asciiTheme="minorHAnsi" w:hAnsiTheme="minorHAnsi" w:cstheme="minorHAnsi"/>
          <w:b/>
          <w:bCs/>
          <w:color w:val="4F81BD" w:themeColor="accent1"/>
          <w:w w:val="85"/>
          <w:sz w:val="28"/>
          <w:szCs w:val="40"/>
        </w:rPr>
        <w:t>Ecole Universitaire de Recherche Sciences et Technologies de la Santé</w:t>
      </w:r>
    </w:p>
    <w:p w14:paraId="22EAE417" w14:textId="77777777" w:rsidR="00EA1D64" w:rsidRPr="00BB5DB6" w:rsidRDefault="00EA1D64" w:rsidP="00EA1D64">
      <w:pPr>
        <w:pStyle w:val="Corpsdetexte"/>
        <w:spacing w:before="166"/>
        <w:ind w:left="232"/>
        <w:contextualSpacing/>
        <w:jc w:val="center"/>
        <w:rPr>
          <w:rFonts w:asciiTheme="minorHAnsi" w:hAnsiTheme="minorHAnsi" w:cstheme="minorHAnsi"/>
          <w:b/>
          <w:bCs/>
          <w:color w:val="4F81BD" w:themeColor="accent1"/>
          <w:w w:val="85"/>
          <w:sz w:val="28"/>
          <w:szCs w:val="40"/>
        </w:rPr>
      </w:pPr>
      <w:r w:rsidRPr="00BB5DB6">
        <w:rPr>
          <w:rFonts w:asciiTheme="minorHAnsi" w:hAnsiTheme="minorHAnsi" w:cstheme="minorHAnsi"/>
          <w:b/>
          <w:bCs/>
          <w:color w:val="4F81BD" w:themeColor="accent1"/>
          <w:w w:val="85"/>
          <w:sz w:val="28"/>
          <w:szCs w:val="40"/>
        </w:rPr>
        <w:t xml:space="preserve">et Master </w:t>
      </w:r>
      <w:r w:rsidR="00D070E5">
        <w:rPr>
          <w:rFonts w:asciiTheme="minorHAnsi" w:hAnsiTheme="minorHAnsi" w:cstheme="minorHAnsi"/>
          <w:b/>
          <w:bCs/>
          <w:color w:val="4F81BD" w:themeColor="accent1"/>
          <w:w w:val="85"/>
          <w:sz w:val="28"/>
          <w:szCs w:val="40"/>
        </w:rPr>
        <w:t>2</w:t>
      </w:r>
      <w:r w:rsidRPr="00BB5DB6">
        <w:rPr>
          <w:rFonts w:asciiTheme="minorHAnsi" w:hAnsiTheme="minorHAnsi" w:cstheme="minorHAnsi"/>
          <w:b/>
          <w:bCs/>
          <w:color w:val="4F81BD" w:themeColor="accent1"/>
          <w:w w:val="85"/>
          <w:sz w:val="28"/>
          <w:szCs w:val="40"/>
        </w:rPr>
        <w:t xml:space="preserve"> Biologie et Médicaments</w:t>
      </w:r>
    </w:p>
    <w:p w14:paraId="283D1375" w14:textId="77777777" w:rsidR="005379BD" w:rsidRPr="00BB5DB6" w:rsidRDefault="00EA1D64" w:rsidP="000971ED">
      <w:pPr>
        <w:pStyle w:val="Corpsdetexte"/>
        <w:spacing w:before="166" w:after="120"/>
        <w:ind w:left="232"/>
        <w:contextualSpacing/>
        <w:jc w:val="center"/>
        <w:rPr>
          <w:rFonts w:asciiTheme="minorHAnsi" w:hAnsiTheme="minorHAnsi" w:cstheme="minorHAnsi"/>
          <w:b/>
          <w:bCs/>
          <w:color w:val="4F81BD" w:themeColor="accent1"/>
          <w:w w:val="85"/>
          <w:sz w:val="28"/>
          <w:szCs w:val="40"/>
        </w:rPr>
      </w:pPr>
      <w:r w:rsidRPr="00BB5DB6">
        <w:rPr>
          <w:rFonts w:asciiTheme="minorHAnsi" w:hAnsiTheme="minorHAnsi" w:cstheme="minorHAnsi"/>
          <w:b/>
          <w:bCs/>
          <w:color w:val="4F81BD" w:themeColor="accent1"/>
          <w:w w:val="85"/>
          <w:sz w:val="28"/>
          <w:szCs w:val="40"/>
        </w:rPr>
        <w:t>UE XMS2BU100&amp;101</w:t>
      </w:r>
      <w:r w:rsidR="005379BD">
        <w:rPr>
          <w:rFonts w:asciiTheme="minorHAnsi" w:hAnsiTheme="minorHAnsi" w:cstheme="minorHAnsi"/>
          <w:b/>
          <w:bCs/>
          <w:color w:val="4F81BD" w:themeColor="accent1"/>
          <w:w w:val="85"/>
          <w:sz w:val="28"/>
          <w:szCs w:val="40"/>
        </w:rPr>
        <w:t xml:space="preserve"> – (2 pages max.)</w:t>
      </w:r>
    </w:p>
    <w:tbl>
      <w:tblPr>
        <w:tblStyle w:val="TableNormal"/>
        <w:tblW w:w="0" w:type="auto"/>
        <w:tblInd w:w="129" w:type="dxa"/>
        <w:tblLayout w:type="fixed"/>
        <w:tblLook w:val="01E0" w:firstRow="1" w:lastRow="1" w:firstColumn="1" w:lastColumn="1" w:noHBand="0" w:noVBand="0"/>
      </w:tblPr>
      <w:tblGrid>
        <w:gridCol w:w="10628"/>
      </w:tblGrid>
      <w:tr w:rsidR="00BD55B3" w:rsidRPr="00BB5DB6" w14:paraId="53236CB8" w14:textId="77777777" w:rsidTr="006E2273">
        <w:trPr>
          <w:trHeight w:val="453"/>
        </w:trPr>
        <w:tc>
          <w:tcPr>
            <w:tcW w:w="10628" w:type="dxa"/>
            <w:tcBorders>
              <w:top w:val="single" w:sz="4" w:space="0" w:color="000000"/>
              <w:left w:val="single" w:sz="4" w:space="0" w:color="000000"/>
              <w:right w:val="single" w:sz="4" w:space="0" w:color="000000"/>
            </w:tcBorders>
            <w:shd w:val="clear" w:color="auto" w:fill="548DD4" w:themeFill="text2" w:themeFillTint="99"/>
          </w:tcPr>
          <w:p w14:paraId="4A2045D2" w14:textId="77777777" w:rsidR="00BD55B3" w:rsidRPr="00BB5DB6" w:rsidRDefault="00EA1D64">
            <w:pPr>
              <w:pStyle w:val="TableParagraph"/>
              <w:spacing w:before="71"/>
              <w:rPr>
                <w:rFonts w:asciiTheme="minorHAnsi" w:hAnsiTheme="minorHAnsi" w:cstheme="minorHAnsi"/>
                <w:b/>
                <w:caps/>
                <w:sz w:val="24"/>
              </w:rPr>
            </w:pPr>
            <w:r w:rsidRPr="00BB5DB6">
              <w:rPr>
                <w:rFonts w:asciiTheme="minorHAnsi" w:hAnsiTheme="minorHAnsi" w:cstheme="minorHAnsi"/>
                <w:b/>
                <w:caps/>
                <w:color w:val="FFFFFF"/>
                <w:w w:val="95"/>
                <w:sz w:val="24"/>
              </w:rPr>
              <w:t xml:space="preserve">Formation concernée </w:t>
            </w:r>
          </w:p>
        </w:tc>
      </w:tr>
      <w:bookmarkStart w:id="0" w:name="_Hlk145516803"/>
      <w:tr w:rsidR="00BD55B3" w:rsidRPr="00BB5DB6" w14:paraId="6157B13D" w14:textId="77777777">
        <w:trPr>
          <w:trHeight w:val="1363"/>
        </w:trPr>
        <w:tc>
          <w:tcPr>
            <w:tcW w:w="10628" w:type="dxa"/>
            <w:tcBorders>
              <w:left w:val="single" w:sz="4" w:space="0" w:color="000000"/>
              <w:right w:val="single" w:sz="4" w:space="0" w:color="000000"/>
            </w:tcBorders>
          </w:tcPr>
          <w:p w14:paraId="110EAA1C" w14:textId="77777777" w:rsidR="00EA1D64" w:rsidRPr="00BB5DB6" w:rsidRDefault="001E2698" w:rsidP="00EA1D64">
            <w:pPr>
              <w:pStyle w:val="NormalWeb"/>
              <w:spacing w:before="0" w:beforeAutospacing="0" w:after="0"/>
              <w:jc w:val="both"/>
              <w:rPr>
                <w:rFonts w:asciiTheme="minorHAnsi" w:hAnsiTheme="minorHAnsi" w:cstheme="minorHAnsi"/>
                <w:bCs/>
                <w:color w:val="000000"/>
                <w:sz w:val="22"/>
                <w:szCs w:val="22"/>
              </w:rPr>
            </w:pPr>
            <w:sdt>
              <w:sdtPr>
                <w:rPr>
                  <w:rFonts w:asciiTheme="minorHAnsi" w:hAnsiTheme="minorHAnsi" w:cstheme="minorHAnsi"/>
                  <w:bCs/>
                  <w:color w:val="000000"/>
                  <w:sz w:val="22"/>
                  <w:szCs w:val="22"/>
                </w:rPr>
                <w:id w:val="1724790115"/>
              </w:sdtPr>
              <w:sdtEndPr/>
              <w:sdtContent>
                <w:r w:rsidR="005379BD">
                  <w:rPr>
                    <w:rFonts w:ascii="MS Gothic" w:eastAsia="MS Gothic" w:hAnsi="MS Gothic" w:cstheme="minorHAnsi" w:hint="eastAsia"/>
                    <w:bCs/>
                    <w:color w:val="000000"/>
                    <w:sz w:val="22"/>
                    <w:szCs w:val="22"/>
                  </w:rPr>
                  <w:t>☐</w:t>
                </w:r>
              </w:sdtContent>
            </w:sdt>
            <w:r w:rsidR="00EA1D64" w:rsidRPr="00BB5DB6">
              <w:rPr>
                <w:rFonts w:asciiTheme="minorHAnsi" w:hAnsiTheme="minorHAnsi" w:cstheme="minorHAnsi"/>
                <w:bCs/>
                <w:color w:val="000000"/>
                <w:sz w:val="22"/>
                <w:szCs w:val="22"/>
              </w:rPr>
              <w:t>GP Immunologie et Immuno-Intervention (I</w:t>
            </w:r>
            <w:r w:rsidR="00EA1D64" w:rsidRPr="00BB5DB6">
              <w:rPr>
                <w:rFonts w:asciiTheme="minorHAnsi" w:hAnsiTheme="minorHAnsi" w:cstheme="minorHAnsi"/>
                <w:bCs/>
                <w:color w:val="000000"/>
                <w:sz w:val="22"/>
                <w:szCs w:val="22"/>
                <w:vertAlign w:val="superscript"/>
              </w:rPr>
              <w:t>3</w:t>
            </w:r>
            <w:r w:rsidR="00EA1D64" w:rsidRPr="00BB5DB6">
              <w:rPr>
                <w:rFonts w:asciiTheme="minorHAnsi" w:hAnsiTheme="minorHAnsi" w:cstheme="minorHAnsi"/>
                <w:bCs/>
                <w:color w:val="000000"/>
                <w:sz w:val="22"/>
                <w:szCs w:val="22"/>
              </w:rPr>
              <w:t>)</w:t>
            </w:r>
          </w:p>
          <w:p w14:paraId="7AA0B0C9" w14:textId="77777777" w:rsidR="00EA1D64" w:rsidRPr="00BB5DB6" w:rsidRDefault="001E2698" w:rsidP="00EA1D64">
            <w:pPr>
              <w:pStyle w:val="NormalWeb"/>
              <w:spacing w:before="0" w:beforeAutospacing="0" w:after="0"/>
              <w:jc w:val="both"/>
              <w:rPr>
                <w:rFonts w:asciiTheme="minorHAnsi" w:hAnsiTheme="minorHAnsi" w:cstheme="minorHAnsi"/>
                <w:bCs/>
                <w:color w:val="000000"/>
                <w:sz w:val="22"/>
                <w:szCs w:val="22"/>
              </w:rPr>
            </w:pPr>
            <w:sdt>
              <w:sdtPr>
                <w:rPr>
                  <w:rFonts w:asciiTheme="minorHAnsi" w:hAnsiTheme="minorHAnsi" w:cstheme="minorHAnsi"/>
                  <w:bCs/>
                  <w:color w:val="000000"/>
                  <w:sz w:val="22"/>
                  <w:szCs w:val="22"/>
                </w:rPr>
                <w:id w:val="1704677682"/>
              </w:sdtPr>
              <w:sdtEndPr/>
              <w:sdtContent>
                <w:r w:rsidR="00422694" w:rsidRPr="00BB5DB6">
                  <w:rPr>
                    <w:rFonts w:ascii="Segoe UI Symbol" w:eastAsia="MS Gothic" w:hAnsi="Segoe UI Symbol" w:cs="Segoe UI Symbol"/>
                    <w:bCs/>
                    <w:color w:val="000000"/>
                    <w:sz w:val="22"/>
                    <w:szCs w:val="22"/>
                  </w:rPr>
                  <w:t>☐</w:t>
                </w:r>
              </w:sdtContent>
            </w:sdt>
            <w:r w:rsidR="00EA1D64" w:rsidRPr="00BB5DB6">
              <w:rPr>
                <w:rFonts w:asciiTheme="minorHAnsi" w:hAnsiTheme="minorHAnsi" w:cstheme="minorHAnsi"/>
                <w:bCs/>
                <w:color w:val="000000"/>
                <w:sz w:val="22"/>
                <w:szCs w:val="22"/>
              </w:rPr>
              <w:t>GP Oncologie, Hématologie et Médecine N</w:t>
            </w:r>
            <w:r w:rsidR="003A1C50" w:rsidRPr="00BB5DB6">
              <w:rPr>
                <w:rFonts w:asciiTheme="minorHAnsi" w:hAnsiTheme="minorHAnsi" w:cstheme="minorHAnsi"/>
                <w:bCs/>
                <w:color w:val="000000"/>
                <w:sz w:val="22"/>
                <w:szCs w:val="22"/>
              </w:rPr>
              <w:t>u</w:t>
            </w:r>
            <w:r w:rsidR="00EA1D64" w:rsidRPr="00BB5DB6">
              <w:rPr>
                <w:rFonts w:asciiTheme="minorHAnsi" w:hAnsiTheme="minorHAnsi" w:cstheme="minorHAnsi"/>
                <w:bCs/>
                <w:color w:val="000000"/>
                <w:sz w:val="22"/>
                <w:szCs w:val="22"/>
              </w:rPr>
              <w:t>cléaire (OHNU)</w:t>
            </w:r>
          </w:p>
          <w:p w14:paraId="01AB0D34" w14:textId="77777777" w:rsidR="00EA1D64" w:rsidRPr="0002493E" w:rsidRDefault="001E2698" w:rsidP="00EA1D64">
            <w:pPr>
              <w:pStyle w:val="NormalWeb"/>
              <w:spacing w:before="0" w:beforeAutospacing="0" w:after="0"/>
              <w:jc w:val="both"/>
              <w:rPr>
                <w:rFonts w:asciiTheme="minorHAnsi" w:hAnsiTheme="minorHAnsi" w:cstheme="minorHAnsi"/>
                <w:b/>
                <w:bCs/>
                <w:color w:val="000000"/>
                <w:sz w:val="22"/>
                <w:szCs w:val="22"/>
              </w:rPr>
            </w:pPr>
            <w:sdt>
              <w:sdtPr>
                <w:rPr>
                  <w:rFonts w:asciiTheme="minorHAnsi" w:hAnsiTheme="minorHAnsi" w:cstheme="minorHAnsi"/>
                  <w:b/>
                  <w:bCs/>
                  <w:color w:val="000000"/>
                  <w:sz w:val="22"/>
                  <w:szCs w:val="22"/>
                </w:rPr>
                <w:id w:val="959223849"/>
              </w:sdtPr>
              <w:sdtEndPr/>
              <w:sdtContent>
                <w:r w:rsidR="0002493E" w:rsidRPr="0002493E">
                  <w:rPr>
                    <w:rFonts w:ascii="MS Gothic" w:eastAsia="MS Gothic" w:hAnsi="MS Gothic" w:cstheme="minorHAnsi" w:hint="eastAsia"/>
                    <w:b/>
                    <w:bCs/>
                    <w:color w:val="000000"/>
                    <w:sz w:val="22"/>
                    <w:szCs w:val="22"/>
                  </w:rPr>
                  <w:t>☒</w:t>
                </w:r>
              </w:sdtContent>
            </w:sdt>
            <w:r w:rsidR="00EA1D64" w:rsidRPr="0002493E">
              <w:rPr>
                <w:rFonts w:asciiTheme="minorHAnsi" w:hAnsiTheme="minorHAnsi" w:cstheme="minorHAnsi"/>
                <w:b/>
                <w:bCs/>
                <w:color w:val="000000"/>
                <w:sz w:val="22"/>
                <w:szCs w:val="22"/>
              </w:rPr>
              <w:t>GP Microbiote, Intestin, Cerveau, Alimentation, Santé (MICAS)</w:t>
            </w:r>
          </w:p>
          <w:p w14:paraId="1A2632E0" w14:textId="77777777" w:rsidR="00EA1D64" w:rsidRPr="00BB5DB6" w:rsidRDefault="001E2698" w:rsidP="00EA1D64">
            <w:pPr>
              <w:pStyle w:val="NormalWeb"/>
              <w:spacing w:before="0" w:beforeAutospacing="0" w:after="0"/>
              <w:jc w:val="both"/>
              <w:rPr>
                <w:rFonts w:asciiTheme="minorHAnsi" w:hAnsiTheme="minorHAnsi" w:cstheme="minorHAnsi"/>
                <w:bCs/>
                <w:color w:val="000000"/>
                <w:sz w:val="22"/>
                <w:szCs w:val="22"/>
                <w:lang w:val="en-US"/>
              </w:rPr>
            </w:pPr>
            <w:sdt>
              <w:sdtPr>
                <w:rPr>
                  <w:rFonts w:asciiTheme="minorHAnsi" w:hAnsiTheme="minorHAnsi" w:cstheme="minorHAnsi"/>
                  <w:bCs/>
                  <w:color w:val="000000"/>
                  <w:sz w:val="22"/>
                  <w:szCs w:val="22"/>
                  <w:lang w:val="en-US"/>
                </w:rPr>
                <w:id w:val="-1226294893"/>
              </w:sdtPr>
              <w:sdtEndPr/>
              <w:sdtContent>
                <w:r w:rsidR="00422694" w:rsidRPr="00BB5DB6">
                  <w:rPr>
                    <w:rFonts w:ascii="Segoe UI Symbol" w:eastAsia="MS Gothic" w:hAnsi="Segoe UI Symbol" w:cs="Segoe UI Symbol"/>
                    <w:bCs/>
                    <w:color w:val="000000"/>
                    <w:sz w:val="22"/>
                    <w:szCs w:val="22"/>
                    <w:lang w:val="en-US"/>
                  </w:rPr>
                  <w:t>☐</w:t>
                </w:r>
              </w:sdtContent>
            </w:sdt>
            <w:r w:rsidR="00EA1D64" w:rsidRPr="00BB5DB6">
              <w:rPr>
                <w:rFonts w:asciiTheme="minorHAnsi" w:hAnsiTheme="minorHAnsi" w:cstheme="minorHAnsi"/>
                <w:bCs/>
                <w:color w:val="000000"/>
                <w:sz w:val="22"/>
                <w:szCs w:val="22"/>
                <w:lang w:val="en-US"/>
              </w:rPr>
              <w:t>GP Innovation for CArdiovascular, metabolic and REspiratory diseases (InnoCARE)</w:t>
            </w:r>
          </w:p>
          <w:p w14:paraId="467A6A95" w14:textId="77777777" w:rsidR="0023071B" w:rsidRPr="0083397F" w:rsidRDefault="001E2698" w:rsidP="0083397F">
            <w:pPr>
              <w:shd w:val="clear" w:color="auto" w:fill="FFFFFF"/>
              <w:textAlignment w:val="baseline"/>
              <w:rPr>
                <w:rFonts w:asciiTheme="minorHAnsi" w:hAnsiTheme="minorHAnsi" w:cstheme="minorHAnsi"/>
                <w:color w:val="000000"/>
              </w:rPr>
            </w:pPr>
            <w:sdt>
              <w:sdtPr>
                <w:rPr>
                  <w:rFonts w:asciiTheme="minorHAnsi" w:hAnsiTheme="minorHAnsi" w:cstheme="minorHAnsi"/>
                </w:rPr>
                <w:id w:val="357622436"/>
              </w:sdtPr>
              <w:sdtEndPr/>
              <w:sdtContent>
                <w:r w:rsidR="00422694" w:rsidRPr="00BB5DB6">
                  <w:rPr>
                    <w:rFonts w:ascii="Segoe UI Symbol" w:eastAsia="MS Gothic" w:hAnsi="Segoe UI Symbol" w:cs="Segoe UI Symbol"/>
                  </w:rPr>
                  <w:t>☐</w:t>
                </w:r>
              </w:sdtContent>
            </w:sdt>
            <w:r w:rsidR="00EA1D64" w:rsidRPr="00BB5DB6">
              <w:rPr>
                <w:rFonts w:asciiTheme="minorHAnsi" w:hAnsiTheme="minorHAnsi" w:cstheme="minorHAnsi"/>
              </w:rPr>
              <w:t xml:space="preserve">GP </w:t>
            </w:r>
            <w:r w:rsidR="00EA1D64" w:rsidRPr="00BB5DB6">
              <w:rPr>
                <w:rFonts w:asciiTheme="minorHAnsi" w:hAnsiTheme="minorHAnsi" w:cstheme="minorHAnsi"/>
                <w:color w:val="000000"/>
              </w:rPr>
              <w:t>Médecine 4R, Réparer, Remplacer, Régénérer, Reprogrammer (M4R)</w:t>
            </w:r>
            <w:bookmarkEnd w:id="0"/>
          </w:p>
        </w:tc>
      </w:tr>
      <w:tr w:rsidR="00BD55B3" w:rsidRPr="00BB5DB6" w14:paraId="754CD6BB" w14:textId="77777777" w:rsidTr="007963DD">
        <w:trPr>
          <w:trHeight w:val="295"/>
        </w:trPr>
        <w:tc>
          <w:tcPr>
            <w:tcW w:w="10628" w:type="dxa"/>
            <w:tcBorders>
              <w:left w:val="single" w:sz="4" w:space="0" w:color="000000"/>
              <w:right w:val="single" w:sz="4" w:space="0" w:color="000000"/>
            </w:tcBorders>
            <w:shd w:val="clear" w:color="auto" w:fill="548DD4" w:themeFill="text2" w:themeFillTint="99"/>
          </w:tcPr>
          <w:p w14:paraId="7C376C90" w14:textId="77777777" w:rsidR="00BD55B3" w:rsidRPr="00BB5DB6" w:rsidRDefault="00EA1D64">
            <w:pPr>
              <w:pStyle w:val="TableParagraph"/>
              <w:spacing w:before="69"/>
              <w:rPr>
                <w:rFonts w:asciiTheme="minorHAnsi" w:hAnsiTheme="minorHAnsi" w:cstheme="minorHAnsi"/>
                <w:b/>
                <w:caps/>
                <w:sz w:val="24"/>
              </w:rPr>
            </w:pPr>
            <w:bookmarkStart w:id="1" w:name="_Hlk145516953"/>
            <w:bookmarkStart w:id="2" w:name="_Hlk145516870"/>
            <w:r w:rsidRPr="00BB5DB6">
              <w:rPr>
                <w:rFonts w:asciiTheme="minorHAnsi" w:hAnsiTheme="minorHAnsi" w:cstheme="minorHAnsi"/>
                <w:b/>
                <w:caps/>
                <w:color w:val="FFFFFF"/>
                <w:w w:val="95"/>
                <w:sz w:val="24"/>
              </w:rPr>
              <w:t>Titre du stage :</w:t>
            </w:r>
            <w:bookmarkEnd w:id="1"/>
          </w:p>
        </w:tc>
      </w:tr>
      <w:bookmarkEnd w:id="2"/>
      <w:tr w:rsidR="00EA1D64" w:rsidRPr="00BB5DB6" w14:paraId="1EAE22AA" w14:textId="77777777" w:rsidTr="00EA1D64">
        <w:trPr>
          <w:trHeight w:val="998"/>
        </w:trPr>
        <w:tc>
          <w:tcPr>
            <w:tcW w:w="10628" w:type="dxa"/>
            <w:tcBorders>
              <w:left w:val="single" w:sz="4" w:space="0" w:color="000000"/>
              <w:right w:val="single" w:sz="4" w:space="0" w:color="000000"/>
            </w:tcBorders>
          </w:tcPr>
          <w:p w14:paraId="1FD6BF0B" w14:textId="77777777" w:rsidR="00DE29EF" w:rsidRPr="00F3346A" w:rsidRDefault="00DE29EF" w:rsidP="00E73DF6">
            <w:pPr>
              <w:pStyle w:val="TableParagraph"/>
              <w:spacing w:before="120"/>
              <w:ind w:left="0"/>
              <w:jc w:val="center"/>
              <w:rPr>
                <w:b/>
                <w:bCs/>
                <w:sz w:val="28"/>
                <w:szCs w:val="28"/>
              </w:rPr>
            </w:pPr>
            <w:r w:rsidRPr="00F3346A">
              <w:rPr>
                <w:b/>
                <w:bCs/>
                <w:sz w:val="28"/>
                <w:szCs w:val="28"/>
              </w:rPr>
              <w:t>Rôle des Interactions Lymphocytes T - Cellules Gliales Entériques</w:t>
            </w:r>
          </w:p>
          <w:p w14:paraId="0C6BCD42" w14:textId="77777777" w:rsidR="00DE29EF" w:rsidRPr="00BB5DB6" w:rsidRDefault="00CE0C4B" w:rsidP="00EA1D64">
            <w:pPr>
              <w:pStyle w:val="TableParagraph"/>
              <w:spacing w:before="55"/>
              <w:ind w:left="0"/>
              <w:rPr>
                <w:rFonts w:asciiTheme="minorHAnsi" w:hAnsiTheme="minorHAnsi" w:cstheme="minorHAnsi"/>
                <w:w w:val="90"/>
                <w:position w:val="-2"/>
                <w:sz w:val="24"/>
              </w:rPr>
            </w:pPr>
            <w:r>
              <w:rPr>
                <w:b/>
                <w:bCs/>
                <w:sz w:val="28"/>
                <w:szCs w:val="28"/>
              </w:rPr>
              <w:t xml:space="preserve">                   </w:t>
            </w:r>
            <w:r w:rsidR="00DE29EF" w:rsidRPr="00F3346A">
              <w:rPr>
                <w:b/>
                <w:bCs/>
                <w:sz w:val="28"/>
                <w:szCs w:val="28"/>
              </w:rPr>
              <w:t>dans la récidive post-opératoire de la maladie de Crohn.</w:t>
            </w:r>
          </w:p>
        </w:tc>
      </w:tr>
      <w:tr w:rsidR="00BD55B3" w:rsidRPr="00BB5DB6" w14:paraId="26079F63" w14:textId="77777777" w:rsidTr="007963DD">
        <w:trPr>
          <w:trHeight w:val="301"/>
        </w:trPr>
        <w:tc>
          <w:tcPr>
            <w:tcW w:w="10628" w:type="dxa"/>
            <w:tcBorders>
              <w:left w:val="single" w:sz="4" w:space="0" w:color="000000"/>
              <w:right w:val="single" w:sz="4" w:space="0" w:color="000000"/>
            </w:tcBorders>
            <w:shd w:val="clear" w:color="auto" w:fill="548DD4" w:themeFill="text2" w:themeFillTint="99"/>
          </w:tcPr>
          <w:p w14:paraId="19748464" w14:textId="77777777" w:rsidR="00BD55B3" w:rsidRPr="00BB5DB6" w:rsidRDefault="00EA1D64">
            <w:pPr>
              <w:pStyle w:val="TableParagraph"/>
              <w:spacing w:before="72"/>
              <w:rPr>
                <w:rFonts w:asciiTheme="minorHAnsi" w:hAnsiTheme="minorHAnsi" w:cstheme="minorHAnsi"/>
                <w:b/>
                <w:caps/>
                <w:sz w:val="24"/>
              </w:rPr>
            </w:pPr>
            <w:r w:rsidRPr="00BB5DB6">
              <w:rPr>
                <w:rFonts w:asciiTheme="minorHAnsi" w:hAnsiTheme="minorHAnsi" w:cstheme="minorHAnsi"/>
                <w:b/>
                <w:caps/>
                <w:color w:val="FFFFFF"/>
                <w:w w:val="85"/>
                <w:sz w:val="24"/>
              </w:rPr>
              <w:t>Laboratoire d’accueil :</w:t>
            </w:r>
          </w:p>
        </w:tc>
      </w:tr>
      <w:tr w:rsidR="003A1C50" w:rsidRPr="00BB5DB6" w14:paraId="283AD812" w14:textId="77777777" w:rsidTr="003A1C50">
        <w:trPr>
          <w:trHeight w:val="532"/>
        </w:trPr>
        <w:tc>
          <w:tcPr>
            <w:tcW w:w="10628" w:type="dxa"/>
            <w:tcBorders>
              <w:left w:val="single" w:sz="4" w:space="0" w:color="000000"/>
              <w:right w:val="single" w:sz="4" w:space="0" w:color="000000"/>
            </w:tcBorders>
          </w:tcPr>
          <w:p w14:paraId="0D7A4F24" w14:textId="77777777" w:rsidR="003A1C50" w:rsidRPr="00A67B11" w:rsidRDefault="00DE29EF" w:rsidP="00A67B11">
            <w:pPr>
              <w:pStyle w:val="TableParagraph"/>
              <w:spacing w:before="120"/>
              <w:ind w:left="1134"/>
              <w:rPr>
                <w:rFonts w:asciiTheme="minorHAnsi" w:hAnsiTheme="minorHAnsi" w:cstheme="minorHAnsi"/>
                <w:b/>
                <w:bCs/>
                <w:sz w:val="28"/>
                <w:szCs w:val="28"/>
              </w:rPr>
            </w:pPr>
            <w:r w:rsidRPr="00004342">
              <w:rPr>
                <w:rFonts w:asciiTheme="minorHAnsi" w:hAnsiTheme="minorHAnsi" w:cstheme="minorHAnsi"/>
                <w:b/>
                <w:bCs/>
                <w:sz w:val="28"/>
                <w:szCs w:val="28"/>
              </w:rPr>
              <w:t>INSERM UMR1235 </w:t>
            </w:r>
            <w:r w:rsidR="00A67B11">
              <w:rPr>
                <w:rFonts w:asciiTheme="minorHAnsi" w:hAnsiTheme="minorHAnsi" w:cstheme="minorHAnsi"/>
                <w:b/>
                <w:bCs/>
                <w:sz w:val="28"/>
                <w:szCs w:val="28"/>
              </w:rPr>
              <w:t>-</w:t>
            </w:r>
            <w:r w:rsidRPr="00004342">
              <w:rPr>
                <w:rFonts w:asciiTheme="minorHAnsi" w:hAnsiTheme="minorHAnsi" w:cstheme="minorHAnsi"/>
                <w:b/>
                <w:bCs/>
                <w:sz w:val="28"/>
                <w:szCs w:val="28"/>
              </w:rPr>
              <w:t xml:space="preserve"> TENS</w:t>
            </w:r>
          </w:p>
        </w:tc>
      </w:tr>
      <w:tr w:rsidR="002E14DA" w:rsidRPr="00BB5DB6" w14:paraId="6927491B" w14:textId="77777777" w:rsidTr="007963DD">
        <w:trPr>
          <w:trHeight w:val="235"/>
        </w:trPr>
        <w:tc>
          <w:tcPr>
            <w:tcW w:w="10628" w:type="dxa"/>
            <w:tcBorders>
              <w:left w:val="single" w:sz="4" w:space="0" w:color="000000"/>
              <w:right w:val="single" w:sz="4" w:space="0" w:color="000000"/>
            </w:tcBorders>
            <w:shd w:val="clear" w:color="auto" w:fill="548DD4" w:themeFill="text2" w:themeFillTint="99"/>
          </w:tcPr>
          <w:p w14:paraId="747FE2A8" w14:textId="77777777" w:rsidR="002E14DA" w:rsidRPr="00BB5DB6" w:rsidRDefault="002E14DA" w:rsidP="002E14DA">
            <w:pPr>
              <w:pStyle w:val="TableParagraph"/>
              <w:spacing w:before="69"/>
              <w:rPr>
                <w:rFonts w:asciiTheme="minorHAnsi" w:hAnsiTheme="minorHAnsi" w:cstheme="minorHAnsi"/>
                <w:b/>
                <w:caps/>
                <w:sz w:val="24"/>
              </w:rPr>
            </w:pPr>
            <w:r w:rsidRPr="00BB5DB6">
              <w:rPr>
                <w:rFonts w:asciiTheme="minorHAnsi" w:hAnsiTheme="minorHAnsi" w:cstheme="minorHAnsi"/>
                <w:b/>
                <w:caps/>
                <w:color w:val="FFFFFF"/>
                <w:w w:val="85"/>
                <w:sz w:val="24"/>
              </w:rPr>
              <w:t>Equipe d’accueil :</w:t>
            </w:r>
          </w:p>
        </w:tc>
      </w:tr>
      <w:tr w:rsidR="002E14DA" w:rsidRPr="00BB5DB6" w14:paraId="7BE71E3F" w14:textId="77777777" w:rsidTr="000B1081">
        <w:trPr>
          <w:trHeight w:val="998"/>
        </w:trPr>
        <w:tc>
          <w:tcPr>
            <w:tcW w:w="10628" w:type="dxa"/>
            <w:tcBorders>
              <w:left w:val="single" w:sz="4" w:space="0" w:color="000000"/>
              <w:right w:val="single" w:sz="4" w:space="0" w:color="000000"/>
            </w:tcBorders>
          </w:tcPr>
          <w:p w14:paraId="232C773D" w14:textId="77777777" w:rsidR="005379BD" w:rsidRPr="00BB5DB6" w:rsidRDefault="00E73DF6" w:rsidP="00E73DF6">
            <w:pPr>
              <w:pStyle w:val="TableParagraph"/>
              <w:spacing w:before="240"/>
              <w:ind w:left="1140"/>
              <w:rPr>
                <w:rFonts w:asciiTheme="minorHAnsi" w:hAnsiTheme="minorHAnsi" w:cstheme="minorHAnsi"/>
                <w:w w:val="90"/>
                <w:position w:val="-2"/>
                <w:sz w:val="24"/>
              </w:rPr>
            </w:pPr>
            <w:r w:rsidRPr="00004342">
              <w:rPr>
                <w:rFonts w:asciiTheme="minorHAnsi" w:hAnsiTheme="minorHAnsi" w:cstheme="minorHAnsi"/>
                <w:b/>
                <w:bCs/>
                <w:sz w:val="28"/>
                <w:szCs w:val="28"/>
              </w:rPr>
              <w:t>INSERM UMR1235 </w:t>
            </w:r>
            <w:r>
              <w:rPr>
                <w:rFonts w:asciiTheme="minorHAnsi" w:hAnsiTheme="minorHAnsi" w:cstheme="minorHAnsi"/>
                <w:b/>
                <w:bCs/>
                <w:sz w:val="28"/>
                <w:szCs w:val="28"/>
              </w:rPr>
              <w:t>-</w:t>
            </w:r>
            <w:r w:rsidRPr="00004342">
              <w:rPr>
                <w:rFonts w:asciiTheme="minorHAnsi" w:hAnsiTheme="minorHAnsi" w:cstheme="minorHAnsi"/>
                <w:b/>
                <w:bCs/>
                <w:sz w:val="28"/>
                <w:szCs w:val="28"/>
              </w:rPr>
              <w:t xml:space="preserve"> TENS (Laboratoire mono</w:t>
            </w:r>
            <w:r w:rsidR="005B5B3E">
              <w:rPr>
                <w:rFonts w:asciiTheme="minorHAnsi" w:hAnsiTheme="minorHAnsi" w:cstheme="minorHAnsi"/>
                <w:b/>
                <w:bCs/>
                <w:sz w:val="28"/>
                <w:szCs w:val="28"/>
              </w:rPr>
              <w:t>-</w:t>
            </w:r>
            <w:r w:rsidRPr="00004342">
              <w:rPr>
                <w:rFonts w:asciiTheme="minorHAnsi" w:hAnsiTheme="minorHAnsi" w:cstheme="minorHAnsi"/>
                <w:b/>
                <w:bCs/>
                <w:sz w:val="28"/>
                <w:szCs w:val="28"/>
              </w:rPr>
              <w:t>équipe</w:t>
            </w:r>
            <w:r>
              <w:rPr>
                <w:rFonts w:asciiTheme="minorHAnsi" w:hAnsiTheme="minorHAnsi" w:cstheme="minorHAnsi"/>
                <w:b/>
                <w:bCs/>
                <w:sz w:val="24"/>
              </w:rPr>
              <w:t>)</w:t>
            </w:r>
          </w:p>
        </w:tc>
      </w:tr>
      <w:tr w:rsidR="002E14DA" w:rsidRPr="00BB5DB6" w14:paraId="1243A2FC" w14:textId="77777777" w:rsidTr="00BB5DB6">
        <w:trPr>
          <w:trHeight w:val="241"/>
        </w:trPr>
        <w:tc>
          <w:tcPr>
            <w:tcW w:w="10628" w:type="dxa"/>
            <w:tcBorders>
              <w:left w:val="single" w:sz="4" w:space="0" w:color="000000"/>
              <w:right w:val="single" w:sz="4" w:space="0" w:color="000000"/>
            </w:tcBorders>
            <w:shd w:val="clear" w:color="auto" w:fill="548DD4" w:themeFill="text2" w:themeFillTint="99"/>
          </w:tcPr>
          <w:p w14:paraId="6C8054D7" w14:textId="77777777" w:rsidR="002E14DA" w:rsidRPr="00BB5DB6" w:rsidRDefault="002E14DA" w:rsidP="002E14DA">
            <w:pPr>
              <w:pStyle w:val="TableParagraph"/>
              <w:spacing w:before="69"/>
              <w:rPr>
                <w:rFonts w:asciiTheme="minorHAnsi" w:hAnsiTheme="minorHAnsi" w:cstheme="minorHAnsi"/>
                <w:b/>
                <w:caps/>
                <w:color w:val="FFFFFF"/>
                <w:w w:val="85"/>
                <w:sz w:val="24"/>
              </w:rPr>
            </w:pPr>
            <w:r w:rsidRPr="00BB5DB6">
              <w:rPr>
                <w:rFonts w:asciiTheme="minorHAnsi" w:hAnsiTheme="minorHAnsi" w:cstheme="minorHAnsi"/>
                <w:b/>
                <w:caps/>
                <w:color w:val="FFFFFF"/>
                <w:w w:val="85"/>
                <w:sz w:val="24"/>
              </w:rPr>
              <w:t>Responsable(s) scientifique(s) et adresse(s) mail :</w:t>
            </w:r>
          </w:p>
        </w:tc>
      </w:tr>
      <w:tr w:rsidR="002E14DA" w:rsidRPr="00BB5DB6" w14:paraId="193F2680" w14:textId="77777777" w:rsidTr="005E4705">
        <w:trPr>
          <w:trHeight w:val="99"/>
        </w:trPr>
        <w:tc>
          <w:tcPr>
            <w:tcW w:w="10628" w:type="dxa"/>
            <w:tcBorders>
              <w:left w:val="single" w:sz="4" w:space="0" w:color="000000"/>
              <w:right w:val="single" w:sz="4" w:space="0" w:color="000000"/>
            </w:tcBorders>
            <w:shd w:val="clear" w:color="auto" w:fill="auto"/>
          </w:tcPr>
          <w:p w14:paraId="47D06028" w14:textId="77777777" w:rsidR="002E14DA" w:rsidRPr="00BB5DB6" w:rsidRDefault="002E14DA" w:rsidP="002E14DA">
            <w:pPr>
              <w:pStyle w:val="TableParagraph"/>
              <w:spacing w:before="69"/>
              <w:rPr>
                <w:rFonts w:asciiTheme="minorHAnsi" w:hAnsiTheme="minorHAnsi" w:cstheme="minorHAnsi"/>
                <w:b/>
                <w:w w:val="85"/>
                <w:sz w:val="24"/>
              </w:rPr>
            </w:pPr>
            <w:bookmarkStart w:id="3" w:name="_Hlk145517465"/>
            <w:r w:rsidRPr="00BB5DB6">
              <w:rPr>
                <w:rFonts w:asciiTheme="minorHAnsi" w:hAnsiTheme="minorHAnsi" w:cstheme="minorHAnsi"/>
                <w:b/>
                <w:w w:val="85"/>
                <w:sz w:val="24"/>
              </w:rPr>
              <w:t>NOM :</w:t>
            </w:r>
            <w:r w:rsidR="00DE29EF">
              <w:rPr>
                <w:rFonts w:asciiTheme="minorHAnsi" w:hAnsiTheme="minorHAnsi" w:cstheme="minorHAnsi"/>
                <w:b/>
                <w:w w:val="85"/>
                <w:sz w:val="24"/>
              </w:rPr>
              <w:t>Naveilhan</w:t>
            </w:r>
            <w:r w:rsidRPr="00BB5DB6">
              <w:rPr>
                <w:rFonts w:asciiTheme="minorHAnsi" w:hAnsiTheme="minorHAnsi" w:cstheme="minorHAnsi"/>
                <w:b/>
                <w:w w:val="85"/>
                <w:sz w:val="24"/>
              </w:rPr>
              <w:t xml:space="preserve">                         Prénom : </w:t>
            </w:r>
            <w:r w:rsidR="00DE29EF">
              <w:rPr>
                <w:rFonts w:asciiTheme="minorHAnsi" w:hAnsiTheme="minorHAnsi" w:cstheme="minorHAnsi"/>
                <w:b/>
                <w:w w:val="85"/>
                <w:sz w:val="24"/>
              </w:rPr>
              <w:t>Philippe</w:t>
            </w:r>
          </w:p>
          <w:p w14:paraId="2005CABB" w14:textId="77777777" w:rsidR="005379BD" w:rsidRPr="00E73DF6" w:rsidRDefault="002E14DA" w:rsidP="00E73DF6">
            <w:pPr>
              <w:pStyle w:val="TableParagraph"/>
              <w:spacing w:before="69" w:after="120"/>
              <w:rPr>
                <w:rFonts w:asciiTheme="minorHAnsi" w:hAnsiTheme="minorHAnsi" w:cstheme="minorHAnsi"/>
                <w:b/>
                <w:w w:val="85"/>
                <w:sz w:val="24"/>
              </w:rPr>
            </w:pPr>
            <w:r w:rsidRPr="00BB5DB6">
              <w:rPr>
                <w:rFonts w:asciiTheme="minorHAnsi" w:hAnsiTheme="minorHAnsi" w:cstheme="minorHAnsi"/>
                <w:b/>
                <w:w w:val="85"/>
                <w:sz w:val="24"/>
              </w:rPr>
              <w:t xml:space="preserve">Mail : </w:t>
            </w:r>
            <w:r w:rsidR="00DE29EF">
              <w:rPr>
                <w:rFonts w:asciiTheme="minorHAnsi" w:hAnsiTheme="minorHAnsi" w:cstheme="minorHAnsi"/>
                <w:b/>
                <w:w w:val="85"/>
                <w:sz w:val="24"/>
              </w:rPr>
              <w:t>Philippe.naveilhan@univ-nantes.fr</w:t>
            </w:r>
            <w:r w:rsidRPr="00BB5DB6">
              <w:rPr>
                <w:rFonts w:asciiTheme="minorHAnsi" w:hAnsiTheme="minorHAnsi" w:cstheme="minorHAnsi"/>
                <w:b/>
                <w:w w:val="85"/>
                <w:sz w:val="24"/>
              </w:rPr>
              <w:t xml:space="preserve">               N° téléphone</w:t>
            </w:r>
            <w:bookmarkEnd w:id="3"/>
          </w:p>
        </w:tc>
      </w:tr>
      <w:tr w:rsidR="005E4705" w:rsidRPr="00BB5DB6" w14:paraId="00A9CF23" w14:textId="77777777" w:rsidTr="00235C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trPr>
        <w:tc>
          <w:tcPr>
            <w:tcW w:w="10627" w:type="dxa"/>
            <w:tcBorders>
              <w:bottom w:val="nil"/>
            </w:tcBorders>
            <w:shd w:val="clear" w:color="auto" w:fill="548DD4" w:themeFill="text2" w:themeFillTint="99"/>
          </w:tcPr>
          <w:p w14:paraId="26B4C9AE" w14:textId="77777777" w:rsidR="005E4705" w:rsidRPr="00BB5DB6" w:rsidRDefault="005E4705" w:rsidP="00235CBC">
            <w:pPr>
              <w:pStyle w:val="TableParagraph"/>
              <w:spacing w:before="69"/>
              <w:rPr>
                <w:rFonts w:asciiTheme="minorHAnsi" w:hAnsiTheme="minorHAnsi" w:cstheme="minorHAnsi"/>
                <w:b/>
                <w:caps/>
                <w:color w:val="FFFFFF"/>
                <w:w w:val="85"/>
                <w:sz w:val="24"/>
              </w:rPr>
            </w:pPr>
            <w:r w:rsidRPr="00BB5DB6">
              <w:rPr>
                <w:rFonts w:asciiTheme="minorHAnsi" w:hAnsiTheme="minorHAnsi" w:cstheme="minorHAnsi"/>
                <w:b/>
                <w:caps/>
                <w:color w:val="FFFFFF"/>
                <w:w w:val="85"/>
                <w:sz w:val="24"/>
              </w:rPr>
              <w:t>Titres et travaux de l’équipe d’accueil (5 publications les plus significatives) :</w:t>
            </w:r>
          </w:p>
        </w:tc>
      </w:tr>
      <w:tr w:rsidR="005E4705" w:rsidRPr="00E73DF6" w14:paraId="5376BF9B" w14:textId="77777777" w:rsidTr="00235C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3"/>
        </w:trPr>
        <w:tc>
          <w:tcPr>
            <w:tcW w:w="10627" w:type="dxa"/>
            <w:tcBorders>
              <w:bottom w:val="nil"/>
            </w:tcBorders>
            <w:shd w:val="clear" w:color="auto" w:fill="auto"/>
          </w:tcPr>
          <w:p w14:paraId="0D7C2AAA" w14:textId="77777777" w:rsidR="001D5AE2" w:rsidRPr="00E73DF6" w:rsidRDefault="001D5AE2" w:rsidP="000971ED">
            <w:pPr>
              <w:spacing w:before="240"/>
              <w:ind w:left="120" w:right="120"/>
              <w:jc w:val="both"/>
              <w:rPr>
                <w:sz w:val="20"/>
                <w:szCs w:val="20"/>
                <w:lang w:val="en-US"/>
              </w:rPr>
            </w:pPr>
            <w:r w:rsidRPr="00E73DF6">
              <w:rPr>
                <w:sz w:val="20"/>
                <w:szCs w:val="20"/>
              </w:rPr>
              <w:t xml:space="preserve">Le Berre C, Durand T, Pabois J, Brossaud R, Aymeric L, Neunlist M, Bourreille A, Naveilhan P, Neveu I. </w:t>
            </w:r>
            <w:r w:rsidRPr="00E73DF6">
              <w:rPr>
                <w:b/>
                <w:sz w:val="20"/>
                <w:szCs w:val="20"/>
              </w:rPr>
              <w:t>2025</w:t>
            </w:r>
            <w:r w:rsidRPr="00E73DF6">
              <w:rPr>
                <w:sz w:val="20"/>
                <w:szCs w:val="20"/>
              </w:rPr>
              <w:t xml:space="preserve">. </w:t>
            </w:r>
            <w:r w:rsidR="00E6088C" w:rsidRPr="00E73DF6">
              <w:rPr>
                <w:sz w:val="20"/>
                <w:szCs w:val="20"/>
                <w:lang w:val="en-US"/>
              </w:rPr>
              <w:t xml:space="preserve">Enteric glia promotes the survival of CD4 and CD8 T cells in plexitis : A new player in Crohn’s disease recurrence ? </w:t>
            </w:r>
            <w:r w:rsidRPr="00E73DF6">
              <w:rPr>
                <w:b/>
                <w:sz w:val="20"/>
                <w:szCs w:val="20"/>
                <w:lang w:val="en-US"/>
              </w:rPr>
              <w:t>Am J Physiol Gastrointest Liver Physiol</w:t>
            </w:r>
            <w:r w:rsidRPr="00E73DF6">
              <w:rPr>
                <w:sz w:val="20"/>
                <w:szCs w:val="20"/>
                <w:lang w:val="en-US"/>
              </w:rPr>
              <w:t>. In press</w:t>
            </w:r>
          </w:p>
          <w:p w14:paraId="6F7D7108" w14:textId="77777777" w:rsidR="001D5AE2" w:rsidRPr="00E73DF6" w:rsidRDefault="001D5AE2" w:rsidP="000971ED">
            <w:pPr>
              <w:spacing w:before="60"/>
              <w:ind w:left="120" w:right="120"/>
              <w:jc w:val="both"/>
              <w:rPr>
                <w:sz w:val="20"/>
                <w:szCs w:val="20"/>
                <w:lang w:val="en-US"/>
              </w:rPr>
            </w:pPr>
            <w:r w:rsidRPr="00E73DF6">
              <w:rPr>
                <w:sz w:val="20"/>
                <w:szCs w:val="20"/>
                <w:lang w:val="en-US"/>
              </w:rPr>
              <w:t xml:space="preserve">Pabois J, Durand T, Le Berre C, Filippone RT, Noël T, Durieu E, Bossard C, Bruneau S, Rolli-Derkinderen M, Nurgali K, Neunlist M, Bourreille A, Neveu I, Naveilhan P. </w:t>
            </w:r>
            <w:r w:rsidRPr="00E73DF6">
              <w:rPr>
                <w:b/>
                <w:sz w:val="20"/>
                <w:szCs w:val="20"/>
                <w:lang w:val="en-US"/>
              </w:rPr>
              <w:t>2024</w:t>
            </w:r>
            <w:r w:rsidRPr="00E73DF6">
              <w:rPr>
                <w:sz w:val="20"/>
                <w:szCs w:val="20"/>
                <w:lang w:val="en-US"/>
              </w:rPr>
              <w:t xml:space="preserve">. Role of ICAM-1 in the Adhesion of T Cells to Enteric Glia: Perspectives in the Formation of Plexitis in Crohn’s Disease. </w:t>
            </w:r>
            <w:r w:rsidRPr="00E73DF6">
              <w:rPr>
                <w:b/>
                <w:sz w:val="20"/>
                <w:szCs w:val="20"/>
                <w:lang w:val="en-US"/>
              </w:rPr>
              <w:t xml:space="preserve">Cell Mol Gastroenterol Hepatol </w:t>
            </w:r>
            <w:r w:rsidRPr="00E73DF6">
              <w:rPr>
                <w:sz w:val="20"/>
                <w:szCs w:val="20"/>
                <w:lang w:val="en-US"/>
              </w:rPr>
              <w:t>18:133–153.</w:t>
            </w:r>
          </w:p>
          <w:p w14:paraId="3A662ADE" w14:textId="77777777" w:rsidR="001D5AE2" w:rsidRPr="00E73DF6" w:rsidRDefault="001D5AE2" w:rsidP="000971ED">
            <w:pPr>
              <w:spacing w:before="60"/>
              <w:ind w:left="120" w:right="120"/>
              <w:jc w:val="both"/>
              <w:rPr>
                <w:sz w:val="20"/>
                <w:szCs w:val="20"/>
              </w:rPr>
            </w:pPr>
            <w:r w:rsidRPr="00E73DF6">
              <w:rPr>
                <w:sz w:val="20"/>
                <w:szCs w:val="20"/>
                <w:lang w:val="en-US"/>
              </w:rPr>
              <w:t xml:space="preserve">Durand T, Paul-Gilloteaux P, Gora M, Laboudie L, Coron E, Neveu I, Neunlist M, Naveilhan P. </w:t>
            </w:r>
            <w:r w:rsidRPr="00E73DF6">
              <w:rPr>
                <w:b/>
                <w:sz w:val="20"/>
                <w:szCs w:val="20"/>
                <w:lang w:val="en-US"/>
              </w:rPr>
              <w:t>2023</w:t>
            </w:r>
            <w:r w:rsidRPr="00E73DF6">
              <w:rPr>
                <w:sz w:val="20"/>
                <w:szCs w:val="20"/>
                <w:lang w:val="en-US"/>
              </w:rPr>
              <w:t xml:space="preserve">. Visualizing enteric nervous system activity through dye-free dynamic full-field optical coherence tomography. </w:t>
            </w:r>
            <w:r w:rsidRPr="00E73DF6">
              <w:rPr>
                <w:b/>
                <w:sz w:val="20"/>
                <w:szCs w:val="20"/>
              </w:rPr>
              <w:t>Commun Biol</w:t>
            </w:r>
            <w:r w:rsidRPr="00E73DF6">
              <w:rPr>
                <w:sz w:val="20"/>
                <w:szCs w:val="20"/>
              </w:rPr>
              <w:t xml:space="preserve"> 6:236.</w:t>
            </w:r>
          </w:p>
          <w:p w14:paraId="7C87588B" w14:textId="77777777" w:rsidR="001D5AE2" w:rsidRPr="00E73DF6" w:rsidRDefault="001D5AE2" w:rsidP="000971ED">
            <w:pPr>
              <w:spacing w:before="60"/>
              <w:ind w:left="120" w:right="120"/>
              <w:jc w:val="both"/>
              <w:rPr>
                <w:sz w:val="20"/>
                <w:szCs w:val="20"/>
                <w:lang w:val="en-US"/>
              </w:rPr>
            </w:pPr>
            <w:r w:rsidRPr="00E73DF6">
              <w:rPr>
                <w:sz w:val="20"/>
                <w:szCs w:val="20"/>
              </w:rPr>
              <w:t xml:space="preserve">Pabois J, Durand T, Le Berre C, Gonzales J, Neunlist M, Bourreille A, Naveilhan P, Neveu I. </w:t>
            </w:r>
            <w:r w:rsidRPr="00E73DF6">
              <w:rPr>
                <w:b/>
                <w:sz w:val="20"/>
                <w:szCs w:val="20"/>
              </w:rPr>
              <w:t>2020</w:t>
            </w:r>
            <w:r w:rsidRPr="00E73DF6">
              <w:rPr>
                <w:sz w:val="20"/>
                <w:szCs w:val="20"/>
              </w:rPr>
              <w:t xml:space="preserve">. </w:t>
            </w:r>
            <w:r w:rsidRPr="00E73DF6">
              <w:rPr>
                <w:sz w:val="20"/>
                <w:szCs w:val="20"/>
                <w:lang w:val="en-US"/>
              </w:rPr>
              <w:t xml:space="preserve">T cells show preferential adhesion to enteric neural cells in culture and are close to neural cells in the myenteric ganglia of Crohn’s patients. </w:t>
            </w:r>
            <w:r w:rsidRPr="00E73DF6">
              <w:rPr>
                <w:b/>
                <w:sz w:val="20"/>
                <w:szCs w:val="20"/>
                <w:lang w:val="en-US"/>
              </w:rPr>
              <w:t>Journal of Neuroimmunology</w:t>
            </w:r>
            <w:r w:rsidRPr="00E73DF6">
              <w:rPr>
                <w:sz w:val="20"/>
                <w:szCs w:val="20"/>
                <w:lang w:val="en-US"/>
              </w:rPr>
              <w:t>:577422.</w:t>
            </w:r>
          </w:p>
          <w:p w14:paraId="6F5CBACA" w14:textId="77777777" w:rsidR="005E4705" w:rsidRPr="00E73DF6" w:rsidRDefault="001D5AE2" w:rsidP="000971ED">
            <w:pPr>
              <w:spacing w:before="60"/>
              <w:ind w:left="120" w:right="120"/>
              <w:jc w:val="both"/>
              <w:rPr>
                <w:sz w:val="20"/>
                <w:szCs w:val="20"/>
              </w:rPr>
            </w:pPr>
            <w:r w:rsidRPr="00E73DF6">
              <w:rPr>
                <w:sz w:val="20"/>
                <w:szCs w:val="20"/>
                <w:lang w:val="en-US"/>
              </w:rPr>
              <w:t xml:space="preserve">Belarif L*, Danger R*, Kermarrec L*, Nerrière-Daguin V, Pengam S, Durand T, Mary C, Kerdreux E, Gauttier V, Kucik A, Thepenier V, Martin JC, Chang C, Rahman A, Guen NS-L, Braudeau C, Abidi A, David G, Malard F, Takoudju C, Martinet B, Gérard N, Neveu I, Neunlist M, Coron E, MacDonald TT, Desreumaux P, Mai H-L, Le Bas-Bernardet S, Mosnier J-F, Merad M, Josien R, Brouard S, Soulillou J-P, Blancho G, Bourreille A, Naveilhan P*, Vanhove B*, Poirier N*. </w:t>
            </w:r>
            <w:r w:rsidRPr="00E73DF6">
              <w:rPr>
                <w:b/>
                <w:sz w:val="20"/>
                <w:szCs w:val="20"/>
                <w:lang w:val="en-US"/>
              </w:rPr>
              <w:t>2019</w:t>
            </w:r>
            <w:r w:rsidRPr="00E73DF6">
              <w:rPr>
                <w:sz w:val="20"/>
                <w:szCs w:val="20"/>
                <w:lang w:val="en-US"/>
              </w:rPr>
              <w:t>. IL-7 receptor influences anti-TNF responsiveness and T cell gut homing in inflammatory bowel disease</w:t>
            </w:r>
            <w:r w:rsidRPr="00E73DF6">
              <w:rPr>
                <w:b/>
                <w:sz w:val="20"/>
                <w:szCs w:val="20"/>
                <w:lang w:val="en-US"/>
              </w:rPr>
              <w:t xml:space="preserve">. </w:t>
            </w:r>
            <w:r w:rsidRPr="00E73DF6">
              <w:rPr>
                <w:b/>
                <w:sz w:val="20"/>
                <w:szCs w:val="20"/>
              </w:rPr>
              <w:t>J Clin Invest</w:t>
            </w:r>
            <w:r w:rsidRPr="00E73DF6">
              <w:rPr>
                <w:sz w:val="20"/>
                <w:szCs w:val="20"/>
              </w:rPr>
              <w:t xml:space="preserve"> 130.</w:t>
            </w:r>
          </w:p>
        </w:tc>
      </w:tr>
      <w:tr w:rsidR="005E4705" w:rsidRPr="00BB5DB6" w14:paraId="0A361282" w14:textId="77777777" w:rsidTr="00BB5DB6">
        <w:trPr>
          <w:trHeight w:val="99"/>
        </w:trPr>
        <w:tc>
          <w:tcPr>
            <w:tcW w:w="10628" w:type="dxa"/>
            <w:tcBorders>
              <w:left w:val="single" w:sz="4" w:space="0" w:color="000000"/>
              <w:bottom w:val="single" w:sz="4" w:space="0" w:color="auto"/>
              <w:right w:val="single" w:sz="4" w:space="0" w:color="000000"/>
            </w:tcBorders>
            <w:shd w:val="clear" w:color="auto" w:fill="auto"/>
          </w:tcPr>
          <w:p w14:paraId="0DA190A0" w14:textId="77777777" w:rsidR="005E4705" w:rsidRPr="00BB5DB6" w:rsidRDefault="005E4705" w:rsidP="002E14DA">
            <w:pPr>
              <w:pStyle w:val="TableParagraph"/>
              <w:spacing w:before="69"/>
              <w:rPr>
                <w:rFonts w:asciiTheme="minorHAnsi" w:hAnsiTheme="minorHAnsi" w:cstheme="minorHAnsi"/>
                <w:b/>
                <w:w w:val="85"/>
                <w:sz w:val="24"/>
              </w:rPr>
            </w:pPr>
          </w:p>
        </w:tc>
      </w:tr>
    </w:tbl>
    <w:p w14:paraId="5770CA89" w14:textId="77777777" w:rsidR="00BD55B3" w:rsidRPr="005379BD" w:rsidRDefault="00BB5DB6" w:rsidP="005379BD">
      <w:pPr>
        <w:rPr>
          <w:rFonts w:asciiTheme="minorHAnsi" w:eastAsia="Tahoma" w:hAnsiTheme="minorHAnsi" w:cstheme="minorHAnsi"/>
          <w:sz w:val="13"/>
        </w:rPr>
      </w:pPr>
      <w:r>
        <w:rPr>
          <w:rFonts w:asciiTheme="minorHAnsi" w:hAnsiTheme="minorHAnsi" w:cstheme="minorHAnsi"/>
          <w:sz w:val="13"/>
        </w:rPr>
        <w:br w:type="page"/>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7"/>
      </w:tblGrid>
      <w:tr w:rsidR="00FA5F36" w:rsidRPr="00BB5DB6" w14:paraId="0D74E82F" w14:textId="77777777" w:rsidTr="007963DD">
        <w:trPr>
          <w:trHeight w:val="158"/>
        </w:trPr>
        <w:tc>
          <w:tcPr>
            <w:tcW w:w="10627" w:type="dxa"/>
            <w:tcBorders>
              <w:bottom w:val="nil"/>
            </w:tcBorders>
            <w:shd w:val="clear" w:color="auto" w:fill="548DD4" w:themeFill="text2" w:themeFillTint="99"/>
          </w:tcPr>
          <w:p w14:paraId="1D16C449" w14:textId="77777777" w:rsidR="00FA5F36" w:rsidRPr="00BB5DB6" w:rsidRDefault="00FA5F36" w:rsidP="00FA5F36">
            <w:pPr>
              <w:pStyle w:val="TableParagraph"/>
              <w:spacing w:before="71"/>
              <w:rPr>
                <w:rFonts w:asciiTheme="minorHAnsi" w:hAnsiTheme="minorHAnsi" w:cstheme="minorHAnsi"/>
                <w:b/>
                <w:caps/>
                <w:color w:val="FFFFFF"/>
                <w:w w:val="95"/>
                <w:sz w:val="24"/>
              </w:rPr>
            </w:pPr>
            <w:bookmarkStart w:id="4" w:name="_Hlk145517580"/>
            <w:r w:rsidRPr="00BB5DB6">
              <w:rPr>
                <w:rFonts w:asciiTheme="minorHAnsi" w:hAnsiTheme="minorHAnsi" w:cstheme="minorHAnsi"/>
                <w:b/>
                <w:caps/>
                <w:color w:val="FFFFFF"/>
                <w:w w:val="95"/>
                <w:sz w:val="24"/>
              </w:rPr>
              <w:lastRenderedPageBreak/>
              <w:t xml:space="preserve">Résumé du projet proposé </w:t>
            </w:r>
            <w:r w:rsidR="005E4705">
              <w:rPr>
                <w:rFonts w:asciiTheme="minorHAnsi" w:hAnsiTheme="minorHAnsi" w:cstheme="minorHAnsi"/>
                <w:b/>
                <w:caps/>
                <w:color w:val="FFFFFF"/>
                <w:w w:val="95"/>
                <w:sz w:val="24"/>
              </w:rPr>
              <w:t xml:space="preserve">ET TECHNIQUES ENVISAGEES </w:t>
            </w:r>
            <w:r w:rsidRPr="00BB5DB6">
              <w:rPr>
                <w:rFonts w:asciiTheme="minorHAnsi" w:hAnsiTheme="minorHAnsi" w:cstheme="minorHAnsi"/>
                <w:b/>
                <w:caps/>
                <w:color w:val="FFFFFF"/>
                <w:w w:val="95"/>
                <w:sz w:val="24"/>
              </w:rPr>
              <w:t xml:space="preserve">(maximum </w:t>
            </w:r>
            <w:r w:rsidR="005E4705">
              <w:rPr>
                <w:rFonts w:asciiTheme="minorHAnsi" w:hAnsiTheme="minorHAnsi" w:cstheme="minorHAnsi"/>
                <w:b/>
                <w:caps/>
                <w:color w:val="FFFFFF"/>
                <w:w w:val="95"/>
                <w:sz w:val="24"/>
              </w:rPr>
              <w:t>1 PAGE</w:t>
            </w:r>
            <w:r w:rsidRPr="00BB5DB6">
              <w:rPr>
                <w:rFonts w:asciiTheme="minorHAnsi" w:hAnsiTheme="minorHAnsi" w:cstheme="minorHAnsi"/>
                <w:b/>
                <w:caps/>
                <w:color w:val="FFFFFF"/>
                <w:w w:val="95"/>
                <w:sz w:val="24"/>
              </w:rPr>
              <w:t>) :</w:t>
            </w:r>
            <w:bookmarkEnd w:id="4"/>
          </w:p>
        </w:tc>
      </w:tr>
      <w:tr w:rsidR="007963DD" w:rsidRPr="00BB5DB6" w14:paraId="3C8D1E94" w14:textId="77777777">
        <w:trPr>
          <w:trHeight w:val="909"/>
        </w:trPr>
        <w:tc>
          <w:tcPr>
            <w:tcW w:w="10627" w:type="dxa"/>
            <w:tcBorders>
              <w:top w:val="nil"/>
              <w:bottom w:val="nil"/>
            </w:tcBorders>
          </w:tcPr>
          <w:p w14:paraId="58FC075F" w14:textId="77777777" w:rsidR="001D5AE2" w:rsidRDefault="001D5AE2" w:rsidP="001D5AE2">
            <w:pPr>
              <w:spacing w:before="240" w:line="288" w:lineRule="auto"/>
              <w:ind w:left="284" w:right="284"/>
              <w:jc w:val="both"/>
            </w:pPr>
            <w:r w:rsidRPr="00894917">
              <w:t xml:space="preserve">Une accumulation de cellules immunes autour et au sein des ganglions du système nerveux entérique a été observée chez les patients atteints de maladie de Crohn. </w:t>
            </w:r>
            <w:r w:rsidRPr="00F3346A">
              <w:rPr>
                <w:b/>
                <w:bCs/>
              </w:rPr>
              <w:t>Ces infiltrations immunitaires, appelées plexites</w:t>
            </w:r>
            <w:r w:rsidRPr="00894917">
              <w:t xml:space="preserve">, ont été reconnues comme </w:t>
            </w:r>
            <w:r w:rsidRPr="00F3346A">
              <w:rPr>
                <w:b/>
                <w:bCs/>
              </w:rPr>
              <w:t>marqueur prédictif de récidive post-opératoire</w:t>
            </w:r>
            <w:r w:rsidRPr="00894917">
              <w:t xml:space="preserve"> lorsqu'elles sont détectées à la marge proximale de résection intestinale. Pour comprendre le potentiel rôle de ces plexites dans la récidive de la maladie de Crohn, nous avons entrepris d'étudier les interactions entre le système immunitaire et le système nerveux entérique. </w:t>
            </w:r>
          </w:p>
          <w:p w14:paraId="57B3BF79" w14:textId="77777777" w:rsidR="001D5AE2" w:rsidRDefault="001D5AE2" w:rsidP="001D5AE2">
            <w:pPr>
              <w:spacing w:line="288" w:lineRule="auto"/>
              <w:ind w:left="284" w:right="284"/>
              <w:jc w:val="both"/>
            </w:pPr>
            <w:r w:rsidRPr="00894917">
              <w:t xml:space="preserve">Nos premiers travaux </w:t>
            </w:r>
            <w:r>
              <w:t xml:space="preserve">réalisés </w:t>
            </w:r>
            <w:r w:rsidRPr="006B46BB">
              <w:rPr>
                <w:i/>
              </w:rPr>
              <w:t>in vitro</w:t>
            </w:r>
            <w:r w:rsidRPr="00894917">
              <w:t xml:space="preserve"> (sur cellules de rat </w:t>
            </w:r>
            <w:r>
              <w:t>ou d’origine</w:t>
            </w:r>
            <w:r w:rsidRPr="00894917">
              <w:t xml:space="preserve"> humaine) ont révélé que les lymphocytes T (LT) sont capables d’interagir avec les cellules gliales entériques (CGE) et que ces interactions sont favorisées par l’activation des lymphocytes T et/ou un environnement pro-inflammatoire. Grâce à l'analyse de coupes transmurales issues de résection intestinale, nous avons démontré qu'</w:t>
            </w:r>
            <w:r w:rsidRPr="006B46BB">
              <w:rPr>
                <w:i/>
              </w:rPr>
              <w:t>in vivo</w:t>
            </w:r>
            <w:r w:rsidRPr="00894917">
              <w:t xml:space="preserve"> chez l'Homme, des lymphocytes T étaient en contact avec les </w:t>
            </w:r>
            <w:r>
              <w:t xml:space="preserve">cellules gliales </w:t>
            </w:r>
            <w:r w:rsidRPr="00894917">
              <w:t xml:space="preserve">et que le nombre d'interactions LT / CGE était nettement supérieur chez les patients en situation de récidive post-opératoire. </w:t>
            </w:r>
          </w:p>
          <w:p w14:paraId="25C55761" w14:textId="77777777" w:rsidR="001D5AE2" w:rsidRDefault="001D5AE2" w:rsidP="006B46BB">
            <w:pPr>
              <w:spacing w:after="120" w:line="288" w:lineRule="auto"/>
              <w:ind w:left="284" w:right="284"/>
              <w:jc w:val="both"/>
            </w:pPr>
            <w:r w:rsidRPr="00894917">
              <w:t xml:space="preserve">La maladie de Crohn étant classiquement associée à une réponse Th1, nous avons </w:t>
            </w:r>
            <w:r>
              <w:t>alors</w:t>
            </w:r>
            <w:r w:rsidRPr="00894917">
              <w:t xml:space="preserve"> étudié l'impact d</w:t>
            </w:r>
            <w:r>
              <w:t>es</w:t>
            </w:r>
            <w:r w:rsidRPr="00894917">
              <w:t xml:space="preserve"> contact</w:t>
            </w:r>
            <w:r>
              <w:t>s</w:t>
            </w:r>
            <w:r w:rsidRPr="00894917">
              <w:t xml:space="preserve"> LT</w:t>
            </w:r>
            <w:r>
              <w:t>/CGE</w:t>
            </w:r>
            <w:r w:rsidRPr="00894917">
              <w:t xml:space="preserve"> sur la production cytokinique Th1</w:t>
            </w:r>
            <w:r>
              <w:t>. Les résultats</w:t>
            </w:r>
            <w:r w:rsidRPr="00894917">
              <w:t xml:space="preserve"> </w:t>
            </w:r>
            <w:r>
              <w:t>ont révélé</w:t>
            </w:r>
            <w:r w:rsidRPr="00894917">
              <w:t xml:space="preserve"> une réduction significative de la production d'IFN</w:t>
            </w:r>
            <w:r w:rsidRPr="0087232C">
              <w:rPr>
                <w:rFonts w:ascii="Symbol" w:hAnsi="Symbol"/>
              </w:rPr>
              <w:t></w:t>
            </w:r>
            <w:r w:rsidRPr="00894917">
              <w:t xml:space="preserve"> dans les co-cultures CGE/</w:t>
            </w:r>
            <w:r>
              <w:t>LT</w:t>
            </w:r>
            <w:r w:rsidRPr="00894917">
              <w:t xml:space="preserve">CD4 comparativement </w:t>
            </w:r>
            <w:r>
              <w:t>à des cultures simples de</w:t>
            </w:r>
            <w:r w:rsidRPr="00894917">
              <w:t xml:space="preserve"> </w:t>
            </w:r>
            <w:r>
              <w:t xml:space="preserve">LT </w:t>
            </w:r>
            <w:r w:rsidRPr="00894917">
              <w:t xml:space="preserve">CD4, </w:t>
            </w:r>
            <w:r>
              <w:t xml:space="preserve">mais également une </w:t>
            </w:r>
            <w:r w:rsidRPr="00894917">
              <w:t>régulation négative de Tbet</w:t>
            </w:r>
            <w:r>
              <w:t xml:space="preserve"> dans les lymphocytes T</w:t>
            </w:r>
            <w:r w:rsidRPr="00894917">
              <w:t xml:space="preserve">. </w:t>
            </w:r>
          </w:p>
          <w:p w14:paraId="1EB5F696" w14:textId="77777777" w:rsidR="001D5AE2" w:rsidRDefault="001D5AE2" w:rsidP="006B46BB">
            <w:pPr>
              <w:spacing w:after="120" w:line="288" w:lineRule="auto"/>
              <w:ind w:left="284" w:right="284"/>
              <w:jc w:val="both"/>
            </w:pPr>
            <w:r>
              <w:t>PD-L1 étant une molécule connue pour réguler T-bet et l’INF</w:t>
            </w:r>
            <w:r w:rsidRPr="0087232C">
              <w:rPr>
                <w:rFonts w:ascii="Symbol" w:hAnsi="Symbol"/>
              </w:rPr>
              <w:t></w:t>
            </w:r>
            <w:r>
              <w:t>, la détection</w:t>
            </w:r>
            <w:r w:rsidRPr="00894917">
              <w:t xml:space="preserve"> de</w:t>
            </w:r>
            <w:r>
              <w:t xml:space="preserve"> son</w:t>
            </w:r>
            <w:r w:rsidRPr="00894917">
              <w:t xml:space="preserve"> </w:t>
            </w:r>
            <w:r>
              <w:t xml:space="preserve">ARNm </w:t>
            </w:r>
            <w:r w:rsidRPr="00894917">
              <w:t>dans les CGE humaines et murines</w:t>
            </w:r>
            <w:r>
              <w:t xml:space="preserve"> suggère une implication de cette molécule dans les interactions </w:t>
            </w:r>
            <w:r w:rsidRPr="00894917">
              <w:t>LT</w:t>
            </w:r>
            <w:r>
              <w:t>/CGE</w:t>
            </w:r>
            <w:r w:rsidRPr="00894917">
              <w:t>.</w:t>
            </w:r>
            <w:r>
              <w:t xml:space="preserve"> </w:t>
            </w:r>
          </w:p>
          <w:p w14:paraId="45C1A3DF" w14:textId="77777777" w:rsidR="001D5AE2" w:rsidRDefault="001D5AE2" w:rsidP="006B46BB">
            <w:pPr>
              <w:spacing w:after="120" w:line="288" w:lineRule="auto"/>
              <w:ind w:left="284" w:right="284"/>
              <w:jc w:val="both"/>
            </w:pPr>
            <w:r>
              <w:t xml:space="preserve">Pour confirmer cette hypothèse, nous avons comme </w:t>
            </w:r>
            <w:r w:rsidRPr="00483E5B">
              <w:rPr>
                <w:b/>
                <w:bCs/>
              </w:rPr>
              <w:t>objectif</w:t>
            </w:r>
            <w:r>
              <w:t xml:space="preserve"> </w:t>
            </w:r>
            <w:r w:rsidRPr="00F3346A">
              <w:rPr>
                <w:b/>
                <w:bCs/>
              </w:rPr>
              <w:t>d’étudier la régulation de PD-L1 au niveau protéique</w:t>
            </w:r>
            <w:r>
              <w:t xml:space="preserve"> et d’</w:t>
            </w:r>
            <w:r w:rsidRPr="00F3346A">
              <w:rPr>
                <w:b/>
                <w:bCs/>
              </w:rPr>
              <w:t xml:space="preserve">analyser son expression </w:t>
            </w:r>
            <w:r w:rsidRPr="006B46BB">
              <w:rPr>
                <w:b/>
                <w:bCs/>
                <w:i/>
              </w:rPr>
              <w:t>in vivo</w:t>
            </w:r>
            <w:r w:rsidRPr="00F3346A">
              <w:rPr>
                <w:b/>
                <w:bCs/>
              </w:rPr>
              <w:t xml:space="preserve"> chez les patients contrôles et Crohn</w:t>
            </w:r>
            <w:r w:rsidRPr="00894917">
              <w:t xml:space="preserve">. </w:t>
            </w:r>
          </w:p>
          <w:p w14:paraId="30B87183" w14:textId="77777777" w:rsidR="001D5AE2" w:rsidRDefault="001D5AE2" w:rsidP="000E5598">
            <w:pPr>
              <w:spacing w:after="120" w:line="288" w:lineRule="auto"/>
              <w:ind w:left="284" w:right="284"/>
              <w:jc w:val="both"/>
            </w:pPr>
            <w:r>
              <w:t xml:space="preserve">Etude sur </w:t>
            </w:r>
            <w:r w:rsidRPr="00894917">
              <w:t xml:space="preserve">des co-cultures </w:t>
            </w:r>
            <w:r w:rsidR="006B46BB">
              <w:t xml:space="preserve">LT </w:t>
            </w:r>
            <w:r>
              <w:t>CD4</w:t>
            </w:r>
            <w:r w:rsidR="006B46BB">
              <w:t xml:space="preserve"> </w:t>
            </w:r>
            <w:r>
              <w:t>/</w:t>
            </w:r>
            <w:r w:rsidR="006B46BB">
              <w:t xml:space="preserve"> </w:t>
            </w:r>
            <w:r w:rsidRPr="00894917">
              <w:t>CGE</w:t>
            </w:r>
            <w:r>
              <w:t xml:space="preserve"> : </w:t>
            </w:r>
          </w:p>
          <w:p w14:paraId="2EE77DB7" w14:textId="77777777" w:rsidR="001D5AE2" w:rsidRDefault="001D5AE2" w:rsidP="001D5AE2">
            <w:pPr>
              <w:pStyle w:val="Paragraphedeliste"/>
              <w:numPr>
                <w:ilvl w:val="0"/>
                <w:numId w:val="2"/>
              </w:numPr>
              <w:spacing w:line="288" w:lineRule="auto"/>
              <w:ind w:right="284"/>
              <w:jc w:val="both"/>
            </w:pPr>
            <w:r>
              <w:t>Analyse de</w:t>
            </w:r>
            <w:r w:rsidRPr="00894917">
              <w:t xml:space="preserve"> l’expression </w:t>
            </w:r>
            <w:r>
              <w:t>de la protéine</w:t>
            </w:r>
            <w:r w:rsidRPr="00894917">
              <w:t xml:space="preserve"> PD-L1 par immunocytochimie </w:t>
            </w:r>
            <w:r>
              <w:t xml:space="preserve">et </w:t>
            </w:r>
            <w:r w:rsidRPr="00894917">
              <w:t>western blot</w:t>
            </w:r>
            <w:r>
              <w:t>.</w:t>
            </w:r>
            <w:r w:rsidRPr="00894917">
              <w:t xml:space="preserve"> </w:t>
            </w:r>
          </w:p>
          <w:p w14:paraId="01CEA821" w14:textId="77777777" w:rsidR="001D5AE2" w:rsidRDefault="001D5AE2" w:rsidP="001D5AE2">
            <w:pPr>
              <w:pStyle w:val="Paragraphedeliste"/>
              <w:numPr>
                <w:ilvl w:val="0"/>
                <w:numId w:val="2"/>
              </w:numPr>
              <w:spacing w:line="288" w:lineRule="auto"/>
              <w:ind w:right="284"/>
              <w:jc w:val="both"/>
            </w:pPr>
            <w:r>
              <w:t>Etude de</w:t>
            </w:r>
            <w:r w:rsidRPr="00894917">
              <w:t xml:space="preserve"> la production d’IFN</w:t>
            </w:r>
            <w:r w:rsidRPr="00483E5B">
              <w:rPr>
                <w:rFonts w:ascii="Symbol" w:hAnsi="Symbol"/>
              </w:rPr>
              <w:t></w:t>
            </w:r>
            <w:r>
              <w:t xml:space="preserve"> et de l’expression de T-bet</w:t>
            </w:r>
            <w:r w:rsidRPr="00894917">
              <w:t xml:space="preserve">. </w:t>
            </w:r>
          </w:p>
          <w:p w14:paraId="7014BAE0" w14:textId="77777777" w:rsidR="001D5AE2" w:rsidRDefault="001D5AE2" w:rsidP="001D5AE2">
            <w:pPr>
              <w:pStyle w:val="Paragraphedeliste"/>
              <w:numPr>
                <w:ilvl w:val="0"/>
                <w:numId w:val="2"/>
              </w:numPr>
              <w:spacing w:after="120" w:line="288" w:lineRule="auto"/>
              <w:ind w:left="641" w:right="284" w:hanging="357"/>
              <w:jc w:val="both"/>
            </w:pPr>
            <w:r>
              <w:t xml:space="preserve">Etude de </w:t>
            </w:r>
            <w:r w:rsidRPr="00894917">
              <w:t xml:space="preserve">l’impact d’anticorps neutralisant </w:t>
            </w:r>
            <w:r>
              <w:t>anti-</w:t>
            </w:r>
            <w:r w:rsidRPr="00894917">
              <w:t>PD-1</w:t>
            </w:r>
            <w:r w:rsidRPr="00483E5B">
              <w:rPr>
                <w:vertAlign w:val="superscript"/>
              </w:rPr>
              <w:t xml:space="preserve"> </w:t>
            </w:r>
            <w:r>
              <w:t>et anti-PD-L1</w:t>
            </w:r>
            <w:r w:rsidRPr="00894917">
              <w:t xml:space="preserve">. </w:t>
            </w:r>
          </w:p>
          <w:p w14:paraId="665208C1" w14:textId="77777777" w:rsidR="001D5AE2" w:rsidRDefault="001D5AE2" w:rsidP="000E5598">
            <w:pPr>
              <w:spacing w:after="120" w:line="288" w:lineRule="auto"/>
              <w:ind w:left="284" w:right="284"/>
              <w:jc w:val="both"/>
            </w:pPr>
            <w:r>
              <w:t xml:space="preserve">Etude sur des coupes de résection </w:t>
            </w:r>
            <w:r w:rsidR="000E5598">
              <w:t>intestinale issues de patients c</w:t>
            </w:r>
            <w:r>
              <w:t>ontrôle</w:t>
            </w:r>
            <w:r w:rsidR="000E5598">
              <w:t>s</w:t>
            </w:r>
            <w:r>
              <w:t xml:space="preserve"> ou Crohn : </w:t>
            </w:r>
          </w:p>
          <w:p w14:paraId="7426BBBC" w14:textId="77777777" w:rsidR="001D5AE2" w:rsidRDefault="001D5AE2" w:rsidP="001D5AE2">
            <w:pPr>
              <w:pStyle w:val="Paragraphedeliste"/>
              <w:numPr>
                <w:ilvl w:val="0"/>
                <w:numId w:val="2"/>
              </w:numPr>
              <w:spacing w:line="288" w:lineRule="auto"/>
              <w:ind w:right="284"/>
              <w:jc w:val="both"/>
            </w:pPr>
            <w:r>
              <w:t>Quantification de l’expression de PD-L1 dans les ganglions myentériques.</w:t>
            </w:r>
          </w:p>
          <w:p w14:paraId="0CFD2385" w14:textId="77777777" w:rsidR="001D5AE2" w:rsidRDefault="001D5AE2" w:rsidP="001D5AE2">
            <w:pPr>
              <w:pStyle w:val="Paragraphedeliste"/>
              <w:numPr>
                <w:ilvl w:val="0"/>
                <w:numId w:val="2"/>
              </w:numPr>
              <w:spacing w:after="120" w:line="288" w:lineRule="auto"/>
              <w:ind w:left="641" w:right="284" w:hanging="357"/>
              <w:jc w:val="both"/>
            </w:pPr>
            <w:r>
              <w:t>Etude d’une potentielle corrélation entre le niveau d’expression de PD-L1 et la récidive post-opératoire chez les patients atteints de la maladie de Crohn.</w:t>
            </w:r>
            <w:r w:rsidRPr="00894917">
              <w:t xml:space="preserve"> </w:t>
            </w:r>
          </w:p>
          <w:p w14:paraId="6648617B" w14:textId="77777777" w:rsidR="00FA5F36" w:rsidRPr="001D5AE2" w:rsidRDefault="001D5AE2" w:rsidP="001D5AE2">
            <w:pPr>
              <w:spacing w:line="288" w:lineRule="auto"/>
              <w:ind w:left="284" w:right="284"/>
              <w:jc w:val="both"/>
            </w:pPr>
            <w:r w:rsidRPr="00894917">
              <w:t xml:space="preserve">Cette étude </w:t>
            </w:r>
            <w:r>
              <w:t xml:space="preserve">a pour objectif de caractériser certains </w:t>
            </w:r>
            <w:r w:rsidRPr="00894917">
              <w:t xml:space="preserve">mécanismes physiopathologiques à l’origine de la maladie de Crohn et </w:t>
            </w:r>
            <w:r>
              <w:t>ainsi, contribuer au développement</w:t>
            </w:r>
            <w:r w:rsidRPr="00894917">
              <w:t xml:space="preserve"> de nouvelles stratégies thérapeutiques.</w:t>
            </w:r>
            <w:r>
              <w:t xml:space="preserve"> </w:t>
            </w:r>
          </w:p>
          <w:p w14:paraId="01D0A66C" w14:textId="77777777" w:rsidR="00FA5F36" w:rsidRPr="00BB5DB6" w:rsidRDefault="00FA5F36" w:rsidP="00FA5F36">
            <w:pPr>
              <w:pStyle w:val="TableParagraph"/>
              <w:spacing w:before="84"/>
              <w:rPr>
                <w:rFonts w:asciiTheme="minorHAnsi" w:hAnsiTheme="minorHAnsi" w:cstheme="minorHAnsi"/>
                <w:color w:val="000000" w:themeColor="text1"/>
                <w:sz w:val="24"/>
              </w:rPr>
            </w:pPr>
          </w:p>
        </w:tc>
      </w:tr>
      <w:tr w:rsidR="00FA5F36" w:rsidRPr="00BB5DB6" w14:paraId="44E0273C" w14:textId="77777777" w:rsidTr="007963DD">
        <w:trPr>
          <w:trHeight w:val="196"/>
        </w:trPr>
        <w:tc>
          <w:tcPr>
            <w:tcW w:w="10627" w:type="dxa"/>
            <w:tcBorders>
              <w:top w:val="nil"/>
              <w:bottom w:val="nil"/>
            </w:tcBorders>
            <w:shd w:val="clear" w:color="auto" w:fill="548DD4" w:themeFill="text2" w:themeFillTint="99"/>
          </w:tcPr>
          <w:p w14:paraId="0CDAE717" w14:textId="77777777" w:rsidR="00FA5F36" w:rsidRPr="00BB5DB6" w:rsidRDefault="00FA5F36" w:rsidP="00FA5F36">
            <w:pPr>
              <w:pStyle w:val="TableParagraph"/>
              <w:spacing w:before="69"/>
              <w:rPr>
                <w:rFonts w:asciiTheme="minorHAnsi" w:hAnsiTheme="minorHAnsi" w:cstheme="minorHAnsi"/>
                <w:b/>
                <w:caps/>
                <w:sz w:val="24"/>
              </w:rPr>
            </w:pPr>
            <w:r w:rsidRPr="00BB5DB6">
              <w:rPr>
                <w:rFonts w:asciiTheme="minorHAnsi" w:hAnsiTheme="minorHAnsi" w:cstheme="minorHAnsi"/>
                <w:b/>
                <w:caps/>
                <w:color w:val="FFFFFF"/>
                <w:w w:val="95"/>
                <w:sz w:val="24"/>
              </w:rPr>
              <w:t>Techniques envisagées :</w:t>
            </w:r>
          </w:p>
        </w:tc>
      </w:tr>
      <w:tr w:rsidR="007963DD" w:rsidRPr="00BB5DB6" w14:paraId="2F4CEAF9" w14:textId="77777777" w:rsidTr="007963DD">
        <w:trPr>
          <w:trHeight w:val="453"/>
        </w:trPr>
        <w:tc>
          <w:tcPr>
            <w:tcW w:w="10627" w:type="dxa"/>
            <w:tcBorders>
              <w:top w:val="nil"/>
              <w:bottom w:val="single" w:sz="4" w:space="0" w:color="auto"/>
            </w:tcBorders>
            <w:shd w:val="clear" w:color="auto" w:fill="auto"/>
          </w:tcPr>
          <w:p w14:paraId="664E0661" w14:textId="77777777" w:rsidR="001D5AE2" w:rsidRDefault="001D5AE2" w:rsidP="001D5AE2">
            <w:pPr>
              <w:pStyle w:val="TableParagraph"/>
              <w:numPr>
                <w:ilvl w:val="0"/>
                <w:numId w:val="3"/>
              </w:numPr>
              <w:spacing w:before="240"/>
              <w:ind w:left="1848" w:hanging="357"/>
              <w:rPr>
                <w:rFonts w:asciiTheme="minorHAnsi" w:hAnsiTheme="minorHAnsi" w:cstheme="minorHAnsi"/>
                <w:caps/>
                <w:color w:val="000000" w:themeColor="text1"/>
                <w:w w:val="95"/>
                <w:sz w:val="24"/>
              </w:rPr>
            </w:pPr>
            <w:r>
              <w:rPr>
                <w:rFonts w:asciiTheme="minorHAnsi" w:hAnsiTheme="minorHAnsi" w:cstheme="minorHAnsi"/>
                <w:caps/>
                <w:color w:val="000000" w:themeColor="text1"/>
                <w:w w:val="95"/>
                <w:sz w:val="24"/>
              </w:rPr>
              <w:t>Biologie cellulaire (culture de cellules gliales, lymphocytes T)</w:t>
            </w:r>
          </w:p>
          <w:p w14:paraId="5A57B26B" w14:textId="77777777" w:rsidR="001D5AE2" w:rsidRDefault="001D5AE2" w:rsidP="001D5AE2">
            <w:pPr>
              <w:pStyle w:val="TableParagraph"/>
              <w:numPr>
                <w:ilvl w:val="0"/>
                <w:numId w:val="3"/>
              </w:numPr>
              <w:spacing w:before="69"/>
              <w:rPr>
                <w:rFonts w:asciiTheme="minorHAnsi" w:hAnsiTheme="minorHAnsi" w:cstheme="minorHAnsi"/>
                <w:caps/>
                <w:color w:val="000000" w:themeColor="text1"/>
                <w:w w:val="95"/>
                <w:sz w:val="24"/>
              </w:rPr>
            </w:pPr>
            <w:r>
              <w:rPr>
                <w:rFonts w:asciiTheme="minorHAnsi" w:hAnsiTheme="minorHAnsi" w:cstheme="minorHAnsi"/>
                <w:caps/>
                <w:color w:val="000000" w:themeColor="text1"/>
                <w:w w:val="95"/>
                <w:sz w:val="24"/>
              </w:rPr>
              <w:t xml:space="preserve">Biologie moléculaire </w:t>
            </w:r>
          </w:p>
          <w:p w14:paraId="7164A462" w14:textId="77777777" w:rsidR="001D5AE2" w:rsidRDefault="001D5AE2" w:rsidP="001D5AE2">
            <w:pPr>
              <w:pStyle w:val="TableParagraph"/>
              <w:numPr>
                <w:ilvl w:val="0"/>
                <w:numId w:val="4"/>
              </w:numPr>
              <w:spacing w:before="69"/>
              <w:rPr>
                <w:rFonts w:asciiTheme="minorHAnsi" w:hAnsiTheme="minorHAnsi" w:cstheme="minorHAnsi"/>
                <w:caps/>
                <w:color w:val="000000" w:themeColor="text1"/>
                <w:w w:val="95"/>
                <w:sz w:val="24"/>
              </w:rPr>
            </w:pPr>
            <w:r>
              <w:rPr>
                <w:rFonts w:asciiTheme="minorHAnsi" w:hAnsiTheme="minorHAnsi" w:cstheme="minorHAnsi"/>
                <w:caps/>
                <w:color w:val="000000" w:themeColor="text1"/>
                <w:w w:val="95"/>
                <w:sz w:val="24"/>
              </w:rPr>
              <w:t>Immunohisto/cytochimie et microscopie</w:t>
            </w:r>
          </w:p>
          <w:p w14:paraId="3D034AEC" w14:textId="77777777" w:rsidR="001D5AE2" w:rsidRDefault="001D5AE2" w:rsidP="001D5AE2">
            <w:pPr>
              <w:pStyle w:val="TableParagraph"/>
              <w:numPr>
                <w:ilvl w:val="0"/>
                <w:numId w:val="4"/>
              </w:numPr>
              <w:spacing w:before="69"/>
              <w:rPr>
                <w:rFonts w:asciiTheme="minorHAnsi" w:hAnsiTheme="minorHAnsi" w:cstheme="minorHAnsi"/>
                <w:caps/>
                <w:color w:val="000000" w:themeColor="text1"/>
                <w:w w:val="95"/>
                <w:sz w:val="24"/>
              </w:rPr>
            </w:pPr>
            <w:r>
              <w:rPr>
                <w:rFonts w:asciiTheme="minorHAnsi" w:hAnsiTheme="minorHAnsi" w:cstheme="minorHAnsi"/>
                <w:caps/>
                <w:color w:val="000000" w:themeColor="text1"/>
                <w:w w:val="95"/>
                <w:sz w:val="24"/>
              </w:rPr>
              <w:t>Cytométrie en flux</w:t>
            </w:r>
          </w:p>
          <w:p w14:paraId="425E1B5F" w14:textId="77777777" w:rsidR="002728C2" w:rsidRPr="00BB5DB6" w:rsidRDefault="002728C2" w:rsidP="007963DD">
            <w:pPr>
              <w:pStyle w:val="TableParagraph"/>
              <w:spacing w:before="69"/>
              <w:ind w:left="0"/>
              <w:rPr>
                <w:rFonts w:asciiTheme="minorHAnsi" w:hAnsiTheme="minorHAnsi" w:cstheme="minorHAnsi"/>
                <w:caps/>
                <w:color w:val="000000" w:themeColor="text1"/>
                <w:w w:val="95"/>
                <w:sz w:val="24"/>
              </w:rPr>
            </w:pPr>
          </w:p>
        </w:tc>
      </w:tr>
    </w:tbl>
    <w:p w14:paraId="34DF15AB" w14:textId="77777777" w:rsidR="00BD55B3" w:rsidRPr="00BB5DB6" w:rsidRDefault="00BD55B3" w:rsidP="005E4705">
      <w:pPr>
        <w:spacing w:before="9"/>
        <w:ind w:firstLine="720"/>
        <w:rPr>
          <w:rFonts w:asciiTheme="minorHAnsi" w:hAnsiTheme="minorHAnsi" w:cstheme="minorHAnsi"/>
          <w:sz w:val="16"/>
        </w:rPr>
      </w:pPr>
    </w:p>
    <w:sectPr w:rsidR="00BD55B3" w:rsidRPr="00BB5DB6" w:rsidSect="008B18FB">
      <w:headerReference w:type="default" r:id="rId8"/>
      <w:footerReference w:type="default" r:id="rId9"/>
      <w:pgSz w:w="11910" w:h="16840"/>
      <w:pgMar w:top="1340" w:right="420" w:bottom="1540" w:left="620" w:header="389" w:footer="1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5B5A" w14:textId="77777777" w:rsidR="001E2698" w:rsidRDefault="001E2698">
      <w:r>
        <w:separator/>
      </w:r>
    </w:p>
  </w:endnote>
  <w:endnote w:type="continuationSeparator" w:id="0">
    <w:p w14:paraId="290467DC" w14:textId="77777777" w:rsidR="001E2698" w:rsidRDefault="001E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651" w14:textId="7D6A93CB" w:rsidR="00BD55B3" w:rsidRDefault="00BA599D" w:rsidP="003A1C50">
    <w:pPr>
      <w:pStyle w:val="Corpsdetexte"/>
      <w:tabs>
        <w:tab w:val="left" w:pos="2645"/>
      </w:tabs>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301C149B" wp14:editId="4D8EE16B">
              <wp:simplePos x="0" y="0"/>
              <wp:positionH relativeFrom="page">
                <wp:posOffset>528320</wp:posOffset>
              </wp:positionH>
              <wp:positionV relativeFrom="page">
                <wp:posOffset>10022840</wp:posOffset>
              </wp:positionV>
              <wp:extent cx="2679700" cy="5384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57D2" w14:textId="77777777" w:rsidR="00BD55B3" w:rsidRDefault="00BD55B3">
                          <w:pPr>
                            <w:spacing w:before="6" w:line="252" w:lineRule="auto"/>
                            <w:ind w:left="20" w:right="526"/>
                            <w:rPr>
                              <w:rFonts w:ascii="Tahoma" w:hAnsi="Tahom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C149B" id="_x0000_t202" coordsize="21600,21600" o:spt="202" path="m,l,21600r21600,l21600,xe">
              <v:stroke joinstyle="miter"/>
              <v:path gradientshapeok="t" o:connecttype="rect"/>
            </v:shapetype>
            <v:shape id="Zone de texte 2" o:spid="_x0000_s1026" type="#_x0000_t202" style="position:absolute;margin-left:41.6pt;margin-top:789.2pt;width:211pt;height:4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" filled="f" stroked="f">
              <v:textbox inset="0,0,0,0">
                <w:txbxContent>
                  <w:p w14:paraId="404F57D2" w14:textId="77777777" w:rsidR="00BD55B3" w:rsidRDefault="00BD55B3">
                    <w:pPr>
                      <w:spacing w:before="6" w:line="252" w:lineRule="auto"/>
                      <w:ind w:left="20" w:right="526"/>
                      <w:rPr>
                        <w:rFonts w:ascii="Tahoma" w:hAnsi="Tahoma"/>
                        <w:sz w:val="16"/>
                      </w:rPr>
                    </w:pPr>
                  </w:p>
                </w:txbxContent>
              </v:textbox>
              <w10:wrap anchorx="page" anchory="page"/>
            </v:shape>
          </w:pict>
        </mc:Fallback>
      </mc:AlternateContent>
    </w:r>
    <w:r w:rsidR="003A1C5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24D7" w14:textId="77777777" w:rsidR="001E2698" w:rsidRDefault="001E2698">
      <w:r>
        <w:separator/>
      </w:r>
    </w:p>
  </w:footnote>
  <w:footnote w:type="continuationSeparator" w:id="0">
    <w:p w14:paraId="65F4CE07" w14:textId="77777777" w:rsidR="001E2698" w:rsidRDefault="001E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9E5E" w14:textId="77777777" w:rsidR="00BD55B3" w:rsidRDefault="003A1C50">
    <w:pPr>
      <w:pStyle w:val="Corpsdetexte"/>
      <w:spacing w:line="14" w:lineRule="auto"/>
      <w:rPr>
        <w:sz w:val="20"/>
      </w:rPr>
    </w:pPr>
    <w:r>
      <w:rPr>
        <w:noProof/>
        <w:sz w:val="20"/>
        <w:lang w:eastAsia="fr-FR"/>
      </w:rPr>
      <w:drawing>
        <wp:inline distT="0" distB="0" distL="0" distR="0" wp14:anchorId="0330E2E6" wp14:editId="057D39B9">
          <wp:extent cx="1711265" cy="635268"/>
          <wp:effectExtent l="0" t="0" r="3810" b="0"/>
          <wp:docPr id="4" name="Image 4" descr="C:\Users\Griffe\AppData\Local\Microsoft\Windows\INetCache\Content.MSO\917CEA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ffe\AppData\Local\Microsoft\Windows\INetCache\Content.MSO\917CEA4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222" cy="671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2E5"/>
    <w:multiLevelType w:val="hybridMultilevel"/>
    <w:tmpl w:val="A16E6B9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 w15:restartNumberingAfterBreak="0">
    <w:nsid w:val="2A117D67"/>
    <w:multiLevelType w:val="hybridMultilevel"/>
    <w:tmpl w:val="2306005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39CA466B"/>
    <w:multiLevelType w:val="hybridMultilevel"/>
    <w:tmpl w:val="14742AE0"/>
    <w:lvl w:ilvl="0" w:tplc="4880AFFE">
      <w:start w:val="57"/>
      <w:numFmt w:val="bullet"/>
      <w:lvlText w:val="-"/>
      <w:lvlJc w:val="left"/>
      <w:pPr>
        <w:ind w:left="644" w:hanging="360"/>
      </w:pPr>
      <w:rPr>
        <w:rFonts w:ascii="Arial MT" w:eastAsia="Arial MT" w:hAnsi="Arial MT" w:cs="Arial MT"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737C2C1A"/>
    <w:multiLevelType w:val="hybridMultilevel"/>
    <w:tmpl w:val="34EA6378"/>
    <w:lvl w:ilvl="0" w:tplc="726895BA">
      <w:numFmt w:val="bullet"/>
      <w:lvlText w:val="-"/>
      <w:lvlJc w:val="left"/>
      <w:pPr>
        <w:ind w:left="52" w:hanging="147"/>
      </w:pPr>
      <w:rPr>
        <w:rFonts w:ascii="Arial MT" w:eastAsia="Arial MT" w:hAnsi="Arial MT" w:cs="Arial MT" w:hint="default"/>
        <w:w w:val="100"/>
        <w:sz w:val="24"/>
        <w:szCs w:val="24"/>
        <w:lang w:val="fr-FR" w:eastAsia="en-US" w:bidi="ar-SA"/>
      </w:rPr>
    </w:lvl>
    <w:lvl w:ilvl="1" w:tplc="A5368AB6">
      <w:numFmt w:val="bullet"/>
      <w:lvlText w:val="•"/>
      <w:lvlJc w:val="left"/>
      <w:pPr>
        <w:ind w:left="1115" w:hanging="147"/>
      </w:pPr>
      <w:rPr>
        <w:rFonts w:hint="default"/>
        <w:lang w:val="fr-FR" w:eastAsia="en-US" w:bidi="ar-SA"/>
      </w:rPr>
    </w:lvl>
    <w:lvl w:ilvl="2" w:tplc="019C2CF8">
      <w:numFmt w:val="bullet"/>
      <w:lvlText w:val="•"/>
      <w:lvlJc w:val="left"/>
      <w:pPr>
        <w:ind w:left="2171" w:hanging="147"/>
      </w:pPr>
      <w:rPr>
        <w:rFonts w:hint="default"/>
        <w:lang w:val="fr-FR" w:eastAsia="en-US" w:bidi="ar-SA"/>
      </w:rPr>
    </w:lvl>
    <w:lvl w:ilvl="3" w:tplc="7FC638E0">
      <w:numFmt w:val="bullet"/>
      <w:lvlText w:val="•"/>
      <w:lvlJc w:val="left"/>
      <w:pPr>
        <w:ind w:left="3227" w:hanging="147"/>
      </w:pPr>
      <w:rPr>
        <w:rFonts w:hint="default"/>
        <w:lang w:val="fr-FR" w:eastAsia="en-US" w:bidi="ar-SA"/>
      </w:rPr>
    </w:lvl>
    <w:lvl w:ilvl="4" w:tplc="372CE108">
      <w:numFmt w:val="bullet"/>
      <w:lvlText w:val="•"/>
      <w:lvlJc w:val="left"/>
      <w:pPr>
        <w:ind w:left="4282" w:hanging="147"/>
      </w:pPr>
      <w:rPr>
        <w:rFonts w:hint="default"/>
        <w:lang w:val="fr-FR" w:eastAsia="en-US" w:bidi="ar-SA"/>
      </w:rPr>
    </w:lvl>
    <w:lvl w:ilvl="5" w:tplc="997CC6E6">
      <w:numFmt w:val="bullet"/>
      <w:lvlText w:val="•"/>
      <w:lvlJc w:val="left"/>
      <w:pPr>
        <w:ind w:left="5338" w:hanging="147"/>
      </w:pPr>
      <w:rPr>
        <w:rFonts w:hint="default"/>
        <w:lang w:val="fr-FR" w:eastAsia="en-US" w:bidi="ar-SA"/>
      </w:rPr>
    </w:lvl>
    <w:lvl w:ilvl="6" w:tplc="0DFA9F82">
      <w:numFmt w:val="bullet"/>
      <w:lvlText w:val="•"/>
      <w:lvlJc w:val="left"/>
      <w:pPr>
        <w:ind w:left="6394" w:hanging="147"/>
      </w:pPr>
      <w:rPr>
        <w:rFonts w:hint="default"/>
        <w:lang w:val="fr-FR" w:eastAsia="en-US" w:bidi="ar-SA"/>
      </w:rPr>
    </w:lvl>
    <w:lvl w:ilvl="7" w:tplc="E3C81C38">
      <w:numFmt w:val="bullet"/>
      <w:lvlText w:val="•"/>
      <w:lvlJc w:val="left"/>
      <w:pPr>
        <w:ind w:left="7449" w:hanging="147"/>
      </w:pPr>
      <w:rPr>
        <w:rFonts w:hint="default"/>
        <w:lang w:val="fr-FR" w:eastAsia="en-US" w:bidi="ar-SA"/>
      </w:rPr>
    </w:lvl>
    <w:lvl w:ilvl="8" w:tplc="DB7243E6">
      <w:numFmt w:val="bullet"/>
      <w:lvlText w:val="•"/>
      <w:lvlJc w:val="left"/>
      <w:pPr>
        <w:ind w:left="8505" w:hanging="147"/>
      </w:pPr>
      <w:rPr>
        <w:rFonts w:hint="default"/>
        <w:lang w:val="fr-F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B3"/>
    <w:rsid w:val="0002493E"/>
    <w:rsid w:val="000971ED"/>
    <w:rsid w:val="000E5598"/>
    <w:rsid w:val="001D5AE2"/>
    <w:rsid w:val="001E2698"/>
    <w:rsid w:val="0023071B"/>
    <w:rsid w:val="002728C2"/>
    <w:rsid w:val="002E14DA"/>
    <w:rsid w:val="003463EC"/>
    <w:rsid w:val="003A1C50"/>
    <w:rsid w:val="003A50E7"/>
    <w:rsid w:val="00422694"/>
    <w:rsid w:val="004B12F9"/>
    <w:rsid w:val="005379BD"/>
    <w:rsid w:val="005B5B3E"/>
    <w:rsid w:val="005E4705"/>
    <w:rsid w:val="006440B7"/>
    <w:rsid w:val="006648E1"/>
    <w:rsid w:val="006B46BB"/>
    <w:rsid w:val="006C41A2"/>
    <w:rsid w:val="006E2273"/>
    <w:rsid w:val="007963DD"/>
    <w:rsid w:val="0083397F"/>
    <w:rsid w:val="008B18FB"/>
    <w:rsid w:val="009102EB"/>
    <w:rsid w:val="00933E19"/>
    <w:rsid w:val="009A2DCD"/>
    <w:rsid w:val="00A67B11"/>
    <w:rsid w:val="00A90378"/>
    <w:rsid w:val="00AD5D6C"/>
    <w:rsid w:val="00B5657A"/>
    <w:rsid w:val="00BA599D"/>
    <w:rsid w:val="00BB5DB6"/>
    <w:rsid w:val="00BD55B3"/>
    <w:rsid w:val="00CE0C4B"/>
    <w:rsid w:val="00D070E5"/>
    <w:rsid w:val="00D96030"/>
    <w:rsid w:val="00DE29EF"/>
    <w:rsid w:val="00E25468"/>
    <w:rsid w:val="00E528DB"/>
    <w:rsid w:val="00E6088C"/>
    <w:rsid w:val="00E73DF6"/>
    <w:rsid w:val="00E9073F"/>
    <w:rsid w:val="00EA1D64"/>
    <w:rsid w:val="00EC4863"/>
    <w:rsid w:val="00F17F3B"/>
    <w:rsid w:val="00F8719A"/>
    <w:rsid w:val="00FA5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95775"/>
  <w15:docId w15:val="{3A213D40-F081-43C2-8253-C9497F3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4DA"/>
    <w:rPr>
      <w:rFonts w:ascii="Arial MT" w:eastAsia="Arial MT" w:hAnsi="Arial MT" w:cs="Arial MT"/>
      <w:lang w:val="fr-FR"/>
    </w:rPr>
  </w:style>
  <w:style w:type="paragraph" w:styleId="Titre1">
    <w:name w:val="heading 1"/>
    <w:basedOn w:val="Normal"/>
    <w:uiPriority w:val="9"/>
    <w:qFormat/>
    <w:rsid w:val="008B18FB"/>
    <w:pPr>
      <w:spacing w:before="84"/>
      <w:ind w:left="1185" w:right="1242"/>
      <w:jc w:val="center"/>
      <w:outlineLvl w:val="0"/>
    </w:pPr>
    <w:rPr>
      <w:rFonts w:ascii="Tahoma" w:eastAsia="Tahoma" w:hAnsi="Tahoma" w:cs="Tahoma"/>
      <w:b/>
      <w:bCs/>
      <w:sz w:val="40"/>
      <w:szCs w:val="40"/>
    </w:rPr>
  </w:style>
  <w:style w:type="paragraph" w:styleId="Titre2">
    <w:name w:val="heading 2"/>
    <w:basedOn w:val="Normal"/>
    <w:uiPriority w:val="9"/>
    <w:unhideWhenUsed/>
    <w:qFormat/>
    <w:rsid w:val="008B18FB"/>
    <w:pPr>
      <w:spacing w:before="21"/>
      <w:ind w:left="1181" w:right="1246"/>
      <w:jc w:val="center"/>
      <w:outlineLvl w:val="1"/>
    </w:pPr>
    <w:rPr>
      <w:rFonts w:ascii="Tahoma" w:eastAsia="Tahoma" w:hAnsi="Tahoma" w:cs="Tahoma"/>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B18FB"/>
    <w:tblPr>
      <w:tblInd w:w="0" w:type="dxa"/>
      <w:tblCellMar>
        <w:top w:w="0" w:type="dxa"/>
        <w:left w:w="0" w:type="dxa"/>
        <w:bottom w:w="0" w:type="dxa"/>
        <w:right w:w="0" w:type="dxa"/>
      </w:tblCellMar>
    </w:tblPr>
  </w:style>
  <w:style w:type="paragraph" w:styleId="Corpsdetexte">
    <w:name w:val="Body Text"/>
    <w:basedOn w:val="Normal"/>
    <w:uiPriority w:val="1"/>
    <w:qFormat/>
    <w:rsid w:val="008B18FB"/>
    <w:rPr>
      <w:rFonts w:ascii="Tahoma" w:eastAsia="Tahoma" w:hAnsi="Tahoma" w:cs="Tahoma"/>
    </w:rPr>
  </w:style>
  <w:style w:type="paragraph" w:styleId="Paragraphedeliste">
    <w:name w:val="List Paragraph"/>
    <w:basedOn w:val="Normal"/>
    <w:uiPriority w:val="1"/>
    <w:qFormat/>
    <w:rsid w:val="008B18FB"/>
  </w:style>
  <w:style w:type="paragraph" w:customStyle="1" w:styleId="TableParagraph">
    <w:name w:val="Table Paragraph"/>
    <w:basedOn w:val="Normal"/>
    <w:uiPriority w:val="1"/>
    <w:qFormat/>
    <w:rsid w:val="008B18FB"/>
    <w:pPr>
      <w:ind w:left="107"/>
    </w:pPr>
  </w:style>
  <w:style w:type="character" w:styleId="Lienhypertexte">
    <w:name w:val="Hyperlink"/>
    <w:basedOn w:val="Policepardfaut"/>
    <w:uiPriority w:val="99"/>
    <w:unhideWhenUsed/>
    <w:rsid w:val="00EA1D64"/>
    <w:rPr>
      <w:color w:val="0000FF" w:themeColor="hyperlink"/>
      <w:u w:val="single"/>
    </w:rPr>
  </w:style>
  <w:style w:type="character" w:customStyle="1" w:styleId="Mentionnonrsolue1">
    <w:name w:val="Mention non résolue1"/>
    <w:basedOn w:val="Policepardfaut"/>
    <w:uiPriority w:val="99"/>
    <w:semiHidden/>
    <w:unhideWhenUsed/>
    <w:rsid w:val="00EA1D64"/>
    <w:rPr>
      <w:color w:val="605E5C"/>
      <w:shd w:val="clear" w:color="auto" w:fill="E1DFDD"/>
    </w:rPr>
  </w:style>
  <w:style w:type="paragraph" w:styleId="NormalWeb">
    <w:name w:val="Normal (Web)"/>
    <w:basedOn w:val="Normal"/>
    <w:rsid w:val="00EA1D64"/>
    <w:pPr>
      <w:widowControl/>
      <w:autoSpaceDE/>
      <w:autoSpaceDN/>
      <w:spacing w:before="100" w:beforeAutospacing="1" w:after="119"/>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2273"/>
    <w:pPr>
      <w:tabs>
        <w:tab w:val="center" w:pos="4536"/>
        <w:tab w:val="right" w:pos="9072"/>
      </w:tabs>
    </w:pPr>
  </w:style>
  <w:style w:type="character" w:customStyle="1" w:styleId="En-tteCar">
    <w:name w:val="En-tête Car"/>
    <w:basedOn w:val="Policepardfaut"/>
    <w:link w:val="En-tte"/>
    <w:uiPriority w:val="99"/>
    <w:rsid w:val="006E2273"/>
    <w:rPr>
      <w:rFonts w:ascii="Arial MT" w:eastAsia="Arial MT" w:hAnsi="Arial MT" w:cs="Arial MT"/>
      <w:lang w:val="fr-FR"/>
    </w:rPr>
  </w:style>
  <w:style w:type="paragraph" w:styleId="Pieddepage">
    <w:name w:val="footer"/>
    <w:basedOn w:val="Normal"/>
    <w:link w:val="PieddepageCar"/>
    <w:uiPriority w:val="99"/>
    <w:unhideWhenUsed/>
    <w:rsid w:val="006E2273"/>
    <w:pPr>
      <w:tabs>
        <w:tab w:val="center" w:pos="4536"/>
        <w:tab w:val="right" w:pos="9072"/>
      </w:tabs>
    </w:pPr>
  </w:style>
  <w:style w:type="character" w:customStyle="1" w:styleId="PieddepageCar">
    <w:name w:val="Pied de page Car"/>
    <w:basedOn w:val="Policepardfaut"/>
    <w:link w:val="Pieddepage"/>
    <w:uiPriority w:val="99"/>
    <w:rsid w:val="006E2273"/>
    <w:rPr>
      <w:rFonts w:ascii="Arial MT" w:eastAsia="Arial MT" w:hAnsi="Arial MT" w:cs="Arial MT"/>
      <w:lang w:val="fr-FR"/>
    </w:rPr>
  </w:style>
  <w:style w:type="paragraph" w:styleId="Textedebulles">
    <w:name w:val="Balloon Text"/>
    <w:basedOn w:val="Normal"/>
    <w:link w:val="TextedebullesCar"/>
    <w:uiPriority w:val="99"/>
    <w:semiHidden/>
    <w:unhideWhenUsed/>
    <w:rsid w:val="00EC4863"/>
    <w:rPr>
      <w:rFonts w:ascii="Tahoma" w:hAnsi="Tahoma" w:cs="Tahoma"/>
      <w:sz w:val="16"/>
      <w:szCs w:val="16"/>
    </w:rPr>
  </w:style>
  <w:style w:type="character" w:customStyle="1" w:styleId="TextedebullesCar">
    <w:name w:val="Texte de bulles Car"/>
    <w:basedOn w:val="Policepardfaut"/>
    <w:link w:val="Textedebulles"/>
    <w:uiPriority w:val="99"/>
    <w:semiHidden/>
    <w:rsid w:val="00EC4863"/>
    <w:rPr>
      <w:rFonts w:ascii="Tahoma" w:eastAsia="Arial MT"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656A-23DE-46FA-8973-2BDE4B5F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4845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Griffe</dc:creator>
  <cp:lastModifiedBy>Sandrine PERNOT</cp:lastModifiedBy>
  <cp:revision>2</cp:revision>
  <dcterms:created xsi:type="dcterms:W3CDTF">2025-07-08T13:03:00Z</dcterms:created>
  <dcterms:modified xsi:type="dcterms:W3CDTF">2025-07-08T13:03:00Z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PDFium</vt:lpwstr>
  </property>
  <property fmtid="{D5CDD505-2E9C-101B-9397-08002B2CF9AE}" pid="4" name="LastSaved">
    <vt:filetime>2023-07-17T00:00:00Z</vt:filetime>
  </property>
</Properties>
</file>