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AEECC" w14:textId="6660BDCE" w:rsidR="00A92370" w:rsidRPr="00A92370" w:rsidRDefault="00A92370" w:rsidP="00091F55">
      <w:pPr>
        <w:pStyle w:val="Titre2"/>
      </w:pPr>
      <w:r>
        <w:t>Agnès BLANDEAU, MCF anglais, Université de Nantes.</w:t>
      </w:r>
    </w:p>
    <w:p w14:paraId="5EA7CC98" w14:textId="77777777" w:rsidR="00A92370" w:rsidRDefault="00A92370" w:rsidP="00091F55">
      <w:pPr>
        <w:pStyle w:val="Titre2"/>
        <w:rPr>
          <w:u w:val="single"/>
        </w:rPr>
      </w:pPr>
    </w:p>
    <w:p w14:paraId="58F1A7AF" w14:textId="77777777" w:rsidR="00091F55" w:rsidRDefault="00091F55" w:rsidP="00091F55">
      <w:pPr>
        <w:pStyle w:val="Titre2"/>
      </w:pPr>
      <w:r>
        <w:rPr>
          <w:u w:val="single"/>
        </w:rPr>
        <w:t>Ouvrage paru </w:t>
      </w:r>
      <w:r>
        <w:t>:</w:t>
      </w:r>
    </w:p>
    <w:p w14:paraId="49BAC23C" w14:textId="77777777" w:rsidR="00091F55" w:rsidRDefault="00091F55" w:rsidP="00091F55"/>
    <w:p w14:paraId="1CBA5396" w14:textId="7DB2C2FF" w:rsidR="00091F55" w:rsidRDefault="00091F55" w:rsidP="00CA70CA">
      <w:pPr>
        <w:tabs>
          <w:tab w:val="left" w:pos="1840"/>
        </w:tabs>
        <w:spacing w:line="240" w:lineRule="atLeast"/>
        <w:jc w:val="both"/>
      </w:pPr>
      <w:r>
        <w:rPr>
          <w:b/>
          <w:i/>
          <w:lang w:val="en-GB"/>
        </w:rPr>
        <w:t>Pasolini, Chaucer and Boccaccio : Two Medieval Text</w:t>
      </w:r>
      <w:r w:rsidR="00CA6EC8">
        <w:rPr>
          <w:b/>
          <w:i/>
          <w:lang w:val="en-GB"/>
        </w:rPr>
        <w:t xml:space="preserve">s and their Translation to Film, </w:t>
      </w:r>
      <w:r>
        <w:t xml:space="preserve">MacFarland &amp; Company, Inc. Publishers, </w:t>
      </w:r>
      <w:r w:rsidR="00CA6EC8">
        <w:t>ed.</w:t>
      </w:r>
      <w:r>
        <w:t xml:space="preserve"> Jeffer</w:t>
      </w:r>
      <w:r w:rsidR="00CA6EC8">
        <w:t>son, North Carolina, 2006, 210 p</w:t>
      </w:r>
      <w:r>
        <w:t xml:space="preserve">. </w:t>
      </w:r>
    </w:p>
    <w:p w14:paraId="33256886" w14:textId="77777777" w:rsidR="00091F55" w:rsidRDefault="00091F55" w:rsidP="00091F55">
      <w:pPr>
        <w:tabs>
          <w:tab w:val="left" w:pos="1840"/>
        </w:tabs>
        <w:spacing w:line="240" w:lineRule="atLeast"/>
        <w:rPr>
          <w:b/>
        </w:rPr>
      </w:pPr>
    </w:p>
    <w:p w14:paraId="3D27BE03" w14:textId="77777777" w:rsidR="00091F55" w:rsidRDefault="00091F55" w:rsidP="00091F55">
      <w:pPr>
        <w:tabs>
          <w:tab w:val="left" w:pos="1840"/>
        </w:tabs>
        <w:spacing w:line="240" w:lineRule="atLeast"/>
        <w:ind w:left="1840" w:hanging="1840"/>
        <w:jc w:val="both"/>
        <w:rPr>
          <w:b/>
        </w:rPr>
      </w:pPr>
      <w:r>
        <w:rPr>
          <w:b/>
          <w:u w:val="single"/>
        </w:rPr>
        <w:t>Articles à paraître</w:t>
      </w:r>
      <w:r>
        <w:rPr>
          <w:b/>
        </w:rPr>
        <w:t> :</w:t>
      </w:r>
    </w:p>
    <w:p w14:paraId="2352ADF1" w14:textId="77777777" w:rsidR="009A5C3C" w:rsidRDefault="009A5C3C" w:rsidP="00CA70CA">
      <w:pPr>
        <w:jc w:val="both"/>
        <w:rPr>
          <w:b/>
          <w:i/>
        </w:rPr>
      </w:pPr>
    </w:p>
    <w:p w14:paraId="14D9F00D" w14:textId="75DD4EBB" w:rsidR="009A5C3C" w:rsidRPr="009A5C3C" w:rsidRDefault="009A5C3C" w:rsidP="009A5C3C">
      <w:pPr>
        <w:jc w:val="both"/>
        <w:rPr>
          <w:bCs/>
          <w:iCs/>
        </w:rPr>
      </w:pPr>
      <w:r w:rsidRPr="009A5C3C">
        <w:rPr>
          <w:b/>
          <w:bCs/>
          <w:i/>
          <w:lang w:val="en-US"/>
        </w:rPr>
        <w:t>Dives and Pauper: Medieval Identity at the Intersection of Christian Doctrine and Everyday Life in Early Fifteenth-century England.</w:t>
      </w:r>
      <w:r>
        <w:rPr>
          <w:b/>
          <w:bCs/>
          <w:i/>
          <w:lang w:val="en-US"/>
        </w:rPr>
        <w:t xml:space="preserve"> </w:t>
      </w:r>
      <w:r>
        <w:rPr>
          <w:bCs/>
          <w:lang w:val="en-US"/>
        </w:rPr>
        <w:t xml:space="preserve">Communication présentée lors du colloque international </w:t>
      </w:r>
      <w:r w:rsidRPr="009A5C3C">
        <w:rPr>
          <w:bCs/>
          <w:i/>
          <w:iCs/>
        </w:rPr>
        <w:t>Medieval Association of the Midwest 30th Annual Co</w:t>
      </w:r>
      <w:r>
        <w:rPr>
          <w:bCs/>
          <w:i/>
          <w:iCs/>
        </w:rPr>
        <w:t xml:space="preserve">nference on Medieval Identities, </w:t>
      </w:r>
      <w:r>
        <w:rPr>
          <w:bCs/>
          <w:iCs/>
        </w:rPr>
        <w:t>les 23-25 janvier</w:t>
      </w:r>
      <w:r w:rsidRPr="009A5C3C">
        <w:rPr>
          <w:bCs/>
          <w:iCs/>
        </w:rPr>
        <w:t xml:space="preserve"> 2015</w:t>
      </w:r>
      <w:r>
        <w:rPr>
          <w:bCs/>
          <w:iCs/>
        </w:rPr>
        <w:t xml:space="preserve"> à </w:t>
      </w:r>
      <w:r w:rsidRPr="009A5C3C">
        <w:rPr>
          <w:bCs/>
          <w:iCs/>
        </w:rPr>
        <w:t xml:space="preserve">Saint Louis University, Madrid Campus, </w:t>
      </w:r>
      <w:r>
        <w:rPr>
          <w:bCs/>
          <w:iCs/>
        </w:rPr>
        <w:t>à Madrid.</w:t>
      </w:r>
      <w:bookmarkStart w:id="0" w:name="_GoBack"/>
      <w:bookmarkEnd w:id="0"/>
    </w:p>
    <w:p w14:paraId="35E7B365" w14:textId="77777777" w:rsidR="009A5C3C" w:rsidRDefault="009A5C3C" w:rsidP="00CA70CA">
      <w:pPr>
        <w:jc w:val="both"/>
        <w:rPr>
          <w:b/>
          <w:i/>
        </w:rPr>
      </w:pPr>
    </w:p>
    <w:p w14:paraId="72068D8C" w14:textId="50C87916" w:rsidR="00A033DE" w:rsidRDefault="00A033DE" w:rsidP="00CA70CA">
      <w:pPr>
        <w:jc w:val="both"/>
      </w:pPr>
      <w:r w:rsidRPr="00607521">
        <w:rPr>
          <w:b/>
          <w:i/>
        </w:rPr>
        <w:t>Que signifient les corps et gestes des personnages qui peuplent les lais bretons moyen-anglais?</w:t>
      </w:r>
      <w:r>
        <w:t xml:space="preserve"> Communication présentée lors du c</w:t>
      </w:r>
      <w:r w:rsidRPr="00607521">
        <w:t xml:space="preserve">olloque </w:t>
      </w:r>
      <w:r>
        <w:t xml:space="preserve">du CRINI </w:t>
      </w:r>
      <w:r w:rsidRPr="00607521">
        <w:t>“Le corps en mo</w:t>
      </w:r>
      <w:r>
        <w:t>u</w:t>
      </w:r>
      <w:r w:rsidRPr="00607521">
        <w:t>vement. Les mouvements du corps. Emotions et passions dans la création artistique littéraire.”</w:t>
      </w:r>
      <w:r>
        <w:t xml:space="preserve"> </w:t>
      </w:r>
      <w:r w:rsidRPr="00607521">
        <w:t>Université de Nantes, du 10 au 12 avril 2014.</w:t>
      </w:r>
      <w:r>
        <w:t xml:space="preserve"> </w:t>
      </w:r>
    </w:p>
    <w:p w14:paraId="79FF48FA" w14:textId="77777777" w:rsidR="00A033DE" w:rsidRDefault="00A033DE" w:rsidP="00091F55">
      <w:pPr>
        <w:tabs>
          <w:tab w:val="left" w:pos="1840"/>
        </w:tabs>
        <w:spacing w:line="240" w:lineRule="atLeast"/>
        <w:jc w:val="both"/>
        <w:rPr>
          <w:b/>
        </w:rPr>
      </w:pPr>
    </w:p>
    <w:p w14:paraId="2A23F52E" w14:textId="290AD1F5" w:rsidR="00091F55" w:rsidRDefault="00091F55" w:rsidP="00CA70CA">
      <w:pPr>
        <w:tabs>
          <w:tab w:val="left" w:pos="1840"/>
        </w:tabs>
        <w:spacing w:line="240" w:lineRule="atLeast"/>
        <w:jc w:val="both"/>
        <w:rPr>
          <w:b/>
        </w:rPr>
      </w:pPr>
      <w:r>
        <w:rPr>
          <w:b/>
        </w:rPr>
        <w:t xml:space="preserve">De Chaucer à Cranach : vers une nouvelle image poétique et picturale de Lucrèce ? </w:t>
      </w:r>
      <w:r>
        <w:t>Communication présentée à l’occasion du colloque internati</w:t>
      </w:r>
      <w:r w:rsidR="00CA6EC8">
        <w:t>onal de l’Université Nantes (6-</w:t>
      </w:r>
      <w:r>
        <w:t>8 décembre 2012</w:t>
      </w:r>
      <w:r w:rsidR="00CA6EC8">
        <w:t>)</w:t>
      </w:r>
      <w:r>
        <w:t xml:space="preserve"> consacré au thème « Le Néo ».</w:t>
      </w:r>
      <w:r>
        <w:rPr>
          <w:b/>
        </w:rPr>
        <w:t xml:space="preserve"> </w:t>
      </w:r>
    </w:p>
    <w:p w14:paraId="4081BCC7" w14:textId="77777777" w:rsidR="00091F55" w:rsidRDefault="00091F55" w:rsidP="00091F55">
      <w:pPr>
        <w:tabs>
          <w:tab w:val="left" w:pos="1840"/>
        </w:tabs>
        <w:spacing w:line="240" w:lineRule="atLeast"/>
        <w:jc w:val="both"/>
        <w:rPr>
          <w:b/>
        </w:rPr>
      </w:pPr>
    </w:p>
    <w:p w14:paraId="0124BDA1" w14:textId="77777777" w:rsidR="00091F55" w:rsidRDefault="00091F55" w:rsidP="006A68FB">
      <w:pPr>
        <w:tabs>
          <w:tab w:val="left" w:pos="1840"/>
        </w:tabs>
        <w:spacing w:line="240" w:lineRule="atLeast"/>
        <w:jc w:val="both"/>
      </w:pPr>
    </w:p>
    <w:p w14:paraId="074BFBDB" w14:textId="2CA2D42E" w:rsidR="00091F55" w:rsidRDefault="00091F55" w:rsidP="00CA70CA">
      <w:pPr>
        <w:tabs>
          <w:tab w:val="left" w:pos="1840"/>
        </w:tabs>
        <w:spacing w:line="240" w:lineRule="atLeast"/>
        <w:jc w:val="both"/>
        <w:rPr>
          <w:b/>
        </w:rPr>
      </w:pPr>
      <w:r>
        <w:rPr>
          <w:b/>
          <w:bCs/>
        </w:rPr>
        <w:t>La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mer et l’amour dans les </w:t>
      </w:r>
      <w:r>
        <w:rPr>
          <w:b/>
          <w:bCs/>
          <w:i/>
          <w:iCs/>
        </w:rPr>
        <w:t>Canterbury Tales</w:t>
      </w:r>
      <w:r>
        <w:rPr>
          <w:b/>
          <w:bCs/>
        </w:rPr>
        <w:t xml:space="preserve"> et autres textes du Moyen Age.</w:t>
      </w:r>
      <w:r>
        <w:t xml:space="preserve"> Communication présentée à l’occasion du colloque « Et la mer et l’amour … » à l’occasion du colloque international du Centre d’Etudes Médiévales Anglaises (C.E.M.A.) de l’Université de Paris IV-Sorbonne (27-28 Mars 2009), au Pavillon de la Reine du Château de Vincennes.  </w:t>
      </w:r>
    </w:p>
    <w:p w14:paraId="0909A6DA" w14:textId="77777777" w:rsidR="00091F55" w:rsidRDefault="00091F55" w:rsidP="00091F55">
      <w:pPr>
        <w:tabs>
          <w:tab w:val="left" w:pos="1840"/>
        </w:tabs>
        <w:spacing w:line="240" w:lineRule="atLeast"/>
        <w:ind w:left="1840" w:hanging="1840"/>
        <w:jc w:val="both"/>
        <w:rPr>
          <w:b/>
        </w:rPr>
      </w:pPr>
    </w:p>
    <w:p w14:paraId="5252A5B4" w14:textId="77777777" w:rsidR="00091F55" w:rsidRDefault="00091F55" w:rsidP="00091F55">
      <w:pPr>
        <w:tabs>
          <w:tab w:val="left" w:pos="1840"/>
        </w:tabs>
        <w:spacing w:line="240" w:lineRule="atLeast"/>
        <w:ind w:left="1840" w:hanging="1840"/>
        <w:jc w:val="both"/>
        <w:rPr>
          <w:bCs/>
          <w:lang w:val="en-GB"/>
        </w:rPr>
      </w:pPr>
    </w:p>
    <w:p w14:paraId="47ABC02F" w14:textId="77777777" w:rsidR="00091F55" w:rsidRDefault="00091F55" w:rsidP="00091F55">
      <w:pPr>
        <w:tabs>
          <w:tab w:val="left" w:pos="1840"/>
        </w:tabs>
        <w:spacing w:line="240" w:lineRule="atLeast"/>
        <w:ind w:left="1840" w:hanging="184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Articles parus: </w:t>
      </w:r>
    </w:p>
    <w:p w14:paraId="22F8A417" w14:textId="77777777" w:rsidR="00091F55" w:rsidRDefault="00091F55" w:rsidP="00091F55">
      <w:pPr>
        <w:tabs>
          <w:tab w:val="left" w:pos="1840"/>
        </w:tabs>
        <w:spacing w:line="240" w:lineRule="atLeast"/>
        <w:ind w:left="1840" w:hanging="1840"/>
        <w:jc w:val="both"/>
        <w:rPr>
          <w:b/>
          <w:u w:val="single"/>
          <w:lang w:val="en-GB"/>
        </w:rPr>
      </w:pPr>
    </w:p>
    <w:p w14:paraId="4C2215C0" w14:textId="3D2C34A4" w:rsidR="00CA70CA" w:rsidRPr="00EA26A1" w:rsidRDefault="00CA70CA" w:rsidP="00CA70CA">
      <w:pPr>
        <w:tabs>
          <w:tab w:val="left" w:pos="1840"/>
        </w:tabs>
        <w:spacing w:line="240" w:lineRule="atLeast"/>
        <w:jc w:val="both"/>
      </w:pPr>
      <w:r>
        <w:rPr>
          <w:b/>
          <w:i/>
        </w:rPr>
        <w:t xml:space="preserve">Wynnere and Wastoure </w:t>
      </w:r>
      <w:r>
        <w:rPr>
          <w:b/>
        </w:rPr>
        <w:t xml:space="preserve">ou comment brouiller la transparence du sens dans la représentation allégorique de la thésaurisation et de la prodigalité. </w:t>
      </w:r>
      <w:r>
        <w:t>Communication présentée lors du 52</w:t>
      </w:r>
      <w:r w:rsidRPr="008904BA">
        <w:rPr>
          <w:vertAlign w:val="superscript"/>
        </w:rPr>
        <w:t>e</w:t>
      </w:r>
      <w:r>
        <w:t xml:space="preserve"> Congrès de la SAES (11-13 mai 2012) à l’Université de Limoges. </w:t>
      </w:r>
      <w:r>
        <w:t>Transparences médiévales. Textes réunis par Martine Yvernault, Limoges : Presses Universitaires de Limoges/ Pulim (Collection Espaces Humains), 2015, pp.29-45.</w:t>
      </w:r>
    </w:p>
    <w:p w14:paraId="1DB02265" w14:textId="77777777" w:rsidR="00CA70CA" w:rsidRDefault="00CA70CA" w:rsidP="00525F74">
      <w:pPr>
        <w:tabs>
          <w:tab w:val="left" w:pos="1840"/>
        </w:tabs>
        <w:spacing w:line="240" w:lineRule="atLeast"/>
        <w:jc w:val="both"/>
        <w:rPr>
          <w:b/>
          <w:i/>
        </w:rPr>
      </w:pPr>
    </w:p>
    <w:p w14:paraId="09242EBF" w14:textId="77777777" w:rsidR="00CA70CA" w:rsidRDefault="00CA70CA" w:rsidP="00525F74">
      <w:pPr>
        <w:tabs>
          <w:tab w:val="left" w:pos="1840"/>
        </w:tabs>
        <w:spacing w:line="240" w:lineRule="atLeast"/>
        <w:jc w:val="both"/>
        <w:rPr>
          <w:b/>
          <w:i/>
        </w:rPr>
      </w:pPr>
    </w:p>
    <w:p w14:paraId="6B9D9D9D" w14:textId="67D0C90E" w:rsidR="00525F74" w:rsidRPr="00172B6C" w:rsidRDefault="00525F74" w:rsidP="00525F74">
      <w:pPr>
        <w:tabs>
          <w:tab w:val="left" w:pos="1840"/>
        </w:tabs>
        <w:spacing w:line="240" w:lineRule="atLeast"/>
        <w:jc w:val="both"/>
        <w:rPr>
          <w:color w:val="FF0000"/>
        </w:rPr>
      </w:pPr>
      <w:r w:rsidRPr="00EA26A1">
        <w:rPr>
          <w:b/>
          <w:i/>
        </w:rPr>
        <w:t>Sir Gowther</w:t>
      </w:r>
      <w:r>
        <w:rPr>
          <w:b/>
        </w:rPr>
        <w:t xml:space="preserve"> and </w:t>
      </w:r>
      <w:r w:rsidRPr="00EA26A1">
        <w:rPr>
          <w:b/>
          <w:i/>
        </w:rPr>
        <w:t>Robert le Diable </w:t>
      </w:r>
      <w:r>
        <w:rPr>
          <w:b/>
        </w:rPr>
        <w:t xml:space="preserve">: Similarites and Differences. From Eremetical Saintliness to Political Prominence. </w:t>
      </w:r>
      <w:r>
        <w:t xml:space="preserve">Revue internationale </w:t>
      </w:r>
      <w:r w:rsidRPr="00920B7B">
        <w:rPr>
          <w:i/>
        </w:rPr>
        <w:t>Orbis Linguarum</w:t>
      </w:r>
      <w:r>
        <w:t xml:space="preserve">, vol. 40, Herausgegeben von </w:t>
      </w:r>
      <w:r w:rsidRPr="00525F74">
        <w:t>Edward Białek, Krzysztof Huszcza und Ewa Rychter</w:t>
      </w:r>
      <w:r>
        <w:t xml:space="preserve">, Neisse Verlag &amp; </w:t>
      </w:r>
      <w:r w:rsidR="00FE5030">
        <w:t>Ofi</w:t>
      </w:r>
      <w:r w:rsidRPr="00525F74">
        <w:t>cyna Wydawnicza ATUT</w:t>
      </w:r>
      <w:r w:rsidR="00172B6C">
        <w:t xml:space="preserve">, </w:t>
      </w:r>
      <w:r w:rsidR="00172B6C" w:rsidRPr="00172B6C">
        <w:rPr>
          <w:rFonts w:eastAsiaTheme="minorEastAsia"/>
          <w:noProof w:val="0"/>
        </w:rPr>
        <w:t>Dresden – Wrocław 2014</w:t>
      </w:r>
      <w:r w:rsidR="00172B6C">
        <w:rPr>
          <w:rFonts w:eastAsiaTheme="minorEastAsia"/>
          <w:noProof w:val="0"/>
        </w:rPr>
        <w:t xml:space="preserve">, pp.485-502. </w:t>
      </w:r>
    </w:p>
    <w:p w14:paraId="1F6E757A" w14:textId="77777777" w:rsidR="00525F74" w:rsidRDefault="00525F74" w:rsidP="00091F55">
      <w:pPr>
        <w:tabs>
          <w:tab w:val="left" w:pos="1840"/>
        </w:tabs>
        <w:spacing w:line="240" w:lineRule="atLeast"/>
        <w:ind w:left="1840" w:hanging="1840"/>
        <w:jc w:val="both"/>
        <w:rPr>
          <w:b/>
          <w:u w:val="single"/>
          <w:lang w:val="en-GB"/>
        </w:rPr>
      </w:pPr>
    </w:p>
    <w:p w14:paraId="5F423137" w14:textId="77777777" w:rsidR="006A68FB" w:rsidRPr="00CF025B" w:rsidRDefault="006A68FB" w:rsidP="00416D9D">
      <w:pPr>
        <w:tabs>
          <w:tab w:val="left" w:pos="1840"/>
        </w:tabs>
        <w:spacing w:line="240" w:lineRule="atLeast"/>
        <w:ind w:left="1840"/>
        <w:jc w:val="both"/>
        <w:rPr>
          <w:color w:val="FF0000"/>
        </w:rPr>
      </w:pPr>
    </w:p>
    <w:p w14:paraId="335F04A6" w14:textId="17A02AC6" w:rsidR="006A68FB" w:rsidRDefault="006A68FB" w:rsidP="00525F74">
      <w:pPr>
        <w:tabs>
          <w:tab w:val="left" w:pos="1840"/>
        </w:tabs>
        <w:spacing w:line="240" w:lineRule="atLeast"/>
        <w:jc w:val="both"/>
      </w:pPr>
      <w:r>
        <w:rPr>
          <w:b/>
        </w:rPr>
        <w:t xml:space="preserve">« He lette crie fer and ner ». Perceptions sonores dans quelques lais bretons moyen-anglais, </w:t>
      </w:r>
      <w:r w:rsidRPr="006A68FB">
        <w:rPr>
          <w:i/>
        </w:rPr>
        <w:t>Perception, Perspective, Perspicacité </w:t>
      </w:r>
      <w:r>
        <w:t xml:space="preserve">/ </w:t>
      </w:r>
      <w:r w:rsidRPr="006A68FB">
        <w:rPr>
          <w:i/>
        </w:rPr>
        <w:t>Perception, Perspective, and Perspicacity</w:t>
      </w:r>
      <w:r>
        <w:t xml:space="preserve"> (Colloque international organisé à l’Université de Pau et des Pays de l’Adour les 8 et 9 mars </w:t>
      </w:r>
      <w:r>
        <w:lastRenderedPageBreak/>
        <w:t>2013), Françoise Buisson, Chrystelle Lacassain-Lagoin et Florence Marie (éd.), Paris : L’Harmattan, 2014, p.341-358.</w:t>
      </w:r>
    </w:p>
    <w:p w14:paraId="08D9C43E" w14:textId="77777777" w:rsidR="00416D9D" w:rsidRDefault="00416D9D" w:rsidP="00275045">
      <w:pPr>
        <w:ind w:left="1416" w:firstLine="4"/>
        <w:jc w:val="both"/>
        <w:rPr>
          <w:b/>
        </w:rPr>
      </w:pPr>
    </w:p>
    <w:p w14:paraId="254A354C" w14:textId="77777777" w:rsidR="00416D9D" w:rsidRDefault="00416D9D" w:rsidP="00275045">
      <w:pPr>
        <w:ind w:left="1416" w:firstLine="4"/>
        <w:jc w:val="both"/>
        <w:rPr>
          <w:b/>
        </w:rPr>
      </w:pPr>
    </w:p>
    <w:p w14:paraId="170B0DA0" w14:textId="11C411E3" w:rsidR="00275045" w:rsidRPr="00275045" w:rsidRDefault="00275045" w:rsidP="00525F74">
      <w:pPr>
        <w:jc w:val="both"/>
      </w:pPr>
      <w:r w:rsidRPr="00275045">
        <w:rPr>
          <w:b/>
        </w:rPr>
        <w:t xml:space="preserve">Loyalty and Treason in Some Middle English Breton </w:t>
      </w:r>
      <w:r>
        <w:rPr>
          <w:b/>
        </w:rPr>
        <w:t>Lays</w:t>
      </w:r>
      <w:r w:rsidRPr="00275045">
        <w:rPr>
          <w:b/>
        </w:rPr>
        <w:t>, </w:t>
      </w:r>
      <w:r w:rsidRPr="00275045">
        <w:rPr>
          <w:i/>
        </w:rPr>
        <w:t>Études Épistémè</w:t>
      </w:r>
      <w:r w:rsidRPr="00275045">
        <w:t xml:space="preserve">, 25, 2014. ‘Gode is the lay, swete is the note’ : Résonances dans les lais bretons moyen-anglais – Echoes in the Middle English Breton Lays, Part 3 : Home Truths, Public Truths. URL: </w:t>
      </w:r>
      <w:hyperlink r:id="rId5" w:history="1">
        <w:r w:rsidRPr="00275045">
          <w:rPr>
            <w:rStyle w:val="Lienhypertexte"/>
          </w:rPr>
          <w:t>http://revue.etudes-episteme.org/?loyalty-and-treason-in-some-middle</w:t>
        </w:r>
      </w:hyperlink>
    </w:p>
    <w:p w14:paraId="5F42C618" w14:textId="2452C98E" w:rsidR="009B2043" w:rsidRDefault="009B2043" w:rsidP="009B2043">
      <w:pPr>
        <w:rPr>
          <w:b/>
        </w:rPr>
      </w:pPr>
    </w:p>
    <w:p w14:paraId="465775E6" w14:textId="77777777" w:rsidR="00275045" w:rsidRDefault="00275045" w:rsidP="009B2043">
      <w:pPr>
        <w:ind w:left="1416"/>
        <w:jc w:val="both"/>
        <w:rPr>
          <w:b/>
        </w:rPr>
      </w:pPr>
    </w:p>
    <w:p w14:paraId="78422882" w14:textId="76CA1AE1" w:rsidR="009B2043" w:rsidRDefault="009B2043" w:rsidP="000A6024">
      <w:pPr>
        <w:jc w:val="both"/>
        <w:rPr>
          <w:rFonts w:ascii="Times" w:hAnsi="Times"/>
          <w:noProof w:val="0"/>
          <w:color w:val="0000FF"/>
          <w:sz w:val="20"/>
          <w:szCs w:val="20"/>
        </w:rPr>
      </w:pPr>
      <w:r w:rsidRPr="000916A9">
        <w:rPr>
          <w:b/>
        </w:rPr>
        <w:t>The Irenic Effect of the Middle Ages on Wartime England Through Film</w:t>
      </w:r>
      <w:r>
        <w:rPr>
          <w:b/>
        </w:rPr>
        <w:t>. The E</w:t>
      </w:r>
      <w:r w:rsidRPr="000916A9">
        <w:rPr>
          <w:b/>
        </w:rPr>
        <w:t xml:space="preserve">xample of </w:t>
      </w:r>
      <w:r w:rsidRPr="000916A9">
        <w:rPr>
          <w:b/>
          <w:i/>
        </w:rPr>
        <w:t>A Canterbury Tale</w:t>
      </w:r>
      <w:r w:rsidRPr="000916A9">
        <w:rPr>
          <w:b/>
        </w:rPr>
        <w:t xml:space="preserve"> by Powell and Pressburger (1944).</w:t>
      </w:r>
      <w:r>
        <w:t xml:space="preserve"> Communication présentée à l’occasion du colloque international organisé à l’Université de Caen « Can Literature and the Arts Be Irenic ? » (18-19 novembre 2010) par Jennifer Kilgore-Caradec et Claire Bowen. Paru dans </w:t>
      </w:r>
      <w:r w:rsidRPr="009B2043">
        <w:rPr>
          <w:b/>
          <w:i/>
        </w:rPr>
        <w:t>Arts of War and Peace</w:t>
      </w:r>
      <w:r>
        <w:t xml:space="preserve"> (2</w:t>
      </w:r>
      <w:r w:rsidRPr="009B2043">
        <w:rPr>
          <w:vertAlign w:val="superscript"/>
        </w:rPr>
        <w:t>nd</w:t>
      </w:r>
      <w:r w:rsidR="00935CCF">
        <w:t xml:space="preserve"> issue), 9 November 2013</w:t>
      </w:r>
      <w:r>
        <w:t xml:space="preserve">: </w:t>
      </w:r>
      <w:hyperlink r:id="rId6" w:history="1">
        <w:r w:rsidRPr="009B2043">
          <w:rPr>
            <w:rFonts w:ascii="Times" w:hAnsi="Times"/>
            <w:noProof w:val="0"/>
            <w:color w:val="0000FF"/>
            <w:sz w:val="20"/>
            <w:szCs w:val="20"/>
            <w:u w:val="single"/>
          </w:rPr>
          <w:t>http://www.awpreview.univ-paris-diderot.fr/spip.php?article26</w:t>
        </w:r>
      </w:hyperlink>
      <w:r w:rsidR="00935CCF">
        <w:rPr>
          <w:rFonts w:ascii="Times" w:hAnsi="Times"/>
          <w:noProof w:val="0"/>
          <w:color w:val="0000FF"/>
          <w:sz w:val="20"/>
          <w:szCs w:val="20"/>
        </w:rPr>
        <w:t xml:space="preserve"> ; </w:t>
      </w:r>
      <w:hyperlink r:id="rId7" w:history="1">
        <w:r w:rsidR="00935CCF" w:rsidRPr="00801EB1">
          <w:rPr>
            <w:rStyle w:val="Lienhypertexte"/>
            <w:rFonts w:ascii="Times" w:hAnsi="Times"/>
            <w:noProof w:val="0"/>
            <w:sz w:val="20"/>
            <w:szCs w:val="20"/>
          </w:rPr>
          <w:t>http://www.awpreview.univ-paris-diderot.fr/IMG/pdf/2.1_5_blandeau_powell_8nov2013.pdf</w:t>
        </w:r>
      </w:hyperlink>
    </w:p>
    <w:p w14:paraId="358399D6" w14:textId="77777777" w:rsidR="00935CCF" w:rsidRPr="00935CCF" w:rsidRDefault="00935CCF" w:rsidP="009B2043">
      <w:pPr>
        <w:ind w:left="1416"/>
        <w:jc w:val="both"/>
        <w:rPr>
          <w:rFonts w:ascii="Times" w:hAnsi="Times"/>
          <w:noProof w:val="0"/>
          <w:sz w:val="20"/>
          <w:szCs w:val="20"/>
        </w:rPr>
      </w:pPr>
    </w:p>
    <w:p w14:paraId="0C285FE9" w14:textId="4E1E2C8E" w:rsidR="009B2043" w:rsidRPr="008D1EBC" w:rsidRDefault="009B2043" w:rsidP="009B2043">
      <w:pPr>
        <w:tabs>
          <w:tab w:val="left" w:pos="1840"/>
        </w:tabs>
        <w:spacing w:line="240" w:lineRule="atLeast"/>
        <w:ind w:left="1840"/>
        <w:jc w:val="both"/>
      </w:pPr>
    </w:p>
    <w:p w14:paraId="37BBD81A" w14:textId="145D77F3" w:rsidR="00091F55" w:rsidRDefault="00091F55" w:rsidP="00CA70CA">
      <w:pPr>
        <w:tabs>
          <w:tab w:val="left" w:pos="1840"/>
        </w:tabs>
        <w:spacing w:line="240" w:lineRule="atLeast"/>
        <w:jc w:val="both"/>
        <w:rPr>
          <w:lang w:val="en-GB"/>
        </w:rPr>
      </w:pPr>
      <w:r>
        <w:rPr>
          <w:b/>
          <w:i/>
        </w:rPr>
        <w:t>Wynnere and Wastoure, a 14th-Century Alliterative Poe</w:t>
      </w:r>
      <w:r w:rsidR="00CA70CA">
        <w:rPr>
          <w:b/>
          <w:i/>
        </w:rPr>
        <w:t xml:space="preserve">m at the Crossroads of Fact and </w:t>
      </w:r>
      <w:r>
        <w:rPr>
          <w:b/>
          <w:i/>
        </w:rPr>
        <w:t>Fiction</w:t>
      </w:r>
      <w:r w:rsidR="00CA6EC8">
        <w:t xml:space="preserve">, </w:t>
      </w:r>
      <w:r w:rsidRPr="00994754">
        <w:rPr>
          <w:i/>
        </w:rPr>
        <w:t>Carrefours / Crossroads</w:t>
      </w:r>
      <w:r>
        <w:t>, coord. Philippe Birgy, Helen Goethals, et Wendy Harding. Toulouse : Presses Universiatires du Mirail, Anglophonia (French Journal of English Studies), Caliban 33, 2013, pp.133-152.</w:t>
      </w:r>
    </w:p>
    <w:p w14:paraId="3C5E3DCE" w14:textId="77777777" w:rsidR="00091F55" w:rsidRDefault="00091F55" w:rsidP="00091F55">
      <w:pPr>
        <w:tabs>
          <w:tab w:val="left" w:pos="1840"/>
        </w:tabs>
        <w:spacing w:line="240" w:lineRule="atLeast"/>
        <w:ind w:left="1840" w:hanging="1840"/>
        <w:jc w:val="both"/>
        <w:rPr>
          <w:lang w:val="en-GB"/>
        </w:rPr>
      </w:pPr>
    </w:p>
    <w:p w14:paraId="0675D1F2" w14:textId="60CF64E4" w:rsidR="00091F55" w:rsidRDefault="00091F55" w:rsidP="00CA70CA">
      <w:pPr>
        <w:tabs>
          <w:tab w:val="left" w:pos="1840"/>
        </w:tabs>
        <w:spacing w:line="240" w:lineRule="atLeast"/>
        <w:jc w:val="both"/>
        <w:rPr>
          <w:lang w:val="en-GB"/>
        </w:rPr>
      </w:pPr>
      <w:r>
        <w:rPr>
          <w:b/>
        </w:rPr>
        <w:t>L’évolution des couleurs et de leurs significations au Moyen Age à la lumière d</w:t>
      </w:r>
      <w:r w:rsidR="00CA6EC8">
        <w:rPr>
          <w:b/>
        </w:rPr>
        <w:t xml:space="preserve">e quelques textes moyen-anglais, </w:t>
      </w:r>
      <w:r w:rsidRPr="003D659A">
        <w:rPr>
          <w:bCs/>
          <w:i/>
        </w:rPr>
        <w:t>Monde(s) en mouvement : Mutations et innovations en Europe à la fin du Moyen Age et au début de la Renaissance</w:t>
      </w:r>
      <w:r>
        <w:rPr>
          <w:bCs/>
        </w:rPr>
        <w:t>, dir. Muriel Cunin et Martine Yvernault. Limoges : Pulim (Presses Universitaires de Limoges), 2012, pp.311-322.</w:t>
      </w:r>
    </w:p>
    <w:p w14:paraId="7103D6AD" w14:textId="77777777" w:rsidR="00091F55" w:rsidRPr="00C2441A" w:rsidRDefault="00091F55" w:rsidP="00091F55">
      <w:pPr>
        <w:tabs>
          <w:tab w:val="left" w:pos="1840"/>
        </w:tabs>
        <w:spacing w:line="240" w:lineRule="atLeast"/>
        <w:jc w:val="both"/>
        <w:rPr>
          <w:lang w:val="en-GB"/>
        </w:rPr>
      </w:pPr>
    </w:p>
    <w:p w14:paraId="3B4F99AB" w14:textId="0F5E60D6" w:rsidR="00091F55" w:rsidRDefault="00091F55" w:rsidP="00CA70CA">
      <w:pPr>
        <w:tabs>
          <w:tab w:val="left" w:pos="1840"/>
        </w:tabs>
        <w:spacing w:line="240" w:lineRule="atLeast"/>
        <w:jc w:val="both"/>
        <w:rPr>
          <w:bCs/>
        </w:rPr>
      </w:pPr>
      <w:r>
        <w:rPr>
          <w:b/>
          <w:lang w:val="en-GB"/>
        </w:rPr>
        <w:t>Technicolor Middle Ages : (Ex)changes and Transformations from Medieval to P</w:t>
      </w:r>
      <w:r w:rsidR="00CA6EC8">
        <w:rPr>
          <w:b/>
          <w:lang w:val="en-GB"/>
        </w:rPr>
        <w:t xml:space="preserve">resent Day Perception of Colour, </w:t>
      </w:r>
      <w:r w:rsidRPr="001D7684">
        <w:rPr>
          <w:bCs/>
          <w:i/>
        </w:rPr>
        <w:t>Echanges et transformations : le Moyen Age, la renaissance et leurs réécritures conetmporaines / Exchanges and Transformations : the Middle Ages, the Renaissance and the contemporary Reworkings</w:t>
      </w:r>
      <w:r w:rsidR="00CA6EC8">
        <w:rPr>
          <w:bCs/>
        </w:rPr>
        <w:t>.</w:t>
      </w:r>
      <w:r>
        <w:rPr>
          <w:bCs/>
        </w:rPr>
        <w:t xml:space="preserve"> </w:t>
      </w:r>
      <w:r w:rsidR="00CA6EC8">
        <w:rPr>
          <w:bCs/>
        </w:rPr>
        <w:t xml:space="preserve">Anglophonia (French Journal of English Studies). Mélanges offerts à Jean-Paul Debax. Caliban 29/2011. </w:t>
      </w:r>
      <w:r>
        <w:rPr>
          <w:bCs/>
        </w:rPr>
        <w:t xml:space="preserve">Toulouse : Presses Universitaires du Mirail, 2011, pp.323-339. </w:t>
      </w:r>
    </w:p>
    <w:p w14:paraId="24DD053F" w14:textId="77777777" w:rsidR="00CA6EC8" w:rsidRDefault="00CA6EC8" w:rsidP="00091F55">
      <w:pPr>
        <w:tabs>
          <w:tab w:val="left" w:pos="1840"/>
        </w:tabs>
        <w:spacing w:line="240" w:lineRule="atLeast"/>
        <w:ind w:left="1840" w:hanging="1840"/>
        <w:jc w:val="both"/>
        <w:rPr>
          <w:bCs/>
        </w:rPr>
      </w:pPr>
    </w:p>
    <w:p w14:paraId="28905C52" w14:textId="32B5BBB3" w:rsidR="00091F55" w:rsidRDefault="00091F55" w:rsidP="00CA70CA">
      <w:pPr>
        <w:tabs>
          <w:tab w:val="left" w:pos="1840"/>
        </w:tabs>
        <w:spacing w:line="240" w:lineRule="atLeast"/>
        <w:jc w:val="both"/>
        <w:rPr>
          <w:bCs/>
        </w:rPr>
      </w:pPr>
      <w:r>
        <w:rPr>
          <w:b/>
        </w:rPr>
        <w:t xml:space="preserve">Jeu, joie jouissance dans </w:t>
      </w:r>
      <w:r>
        <w:rPr>
          <w:b/>
          <w:i/>
          <w:iCs/>
        </w:rPr>
        <w:t>The Land of Cokaygne</w:t>
      </w:r>
      <w:r w:rsidR="00CA6EC8">
        <w:rPr>
          <w:b/>
        </w:rPr>
        <w:t xml:space="preserve">, poème du début du XIVe siècle, </w:t>
      </w:r>
      <w:r w:rsidRPr="001D7684">
        <w:rPr>
          <w:bCs/>
          <w:i/>
        </w:rPr>
        <w:t>Je(u), joie, jouissance : Littérature, civilisation et linguistique. / Games and the Self : Joy, Enjoyment and Pleasure : Literature, History and society, and linguistics</w:t>
      </w:r>
      <w:r>
        <w:rPr>
          <w:bCs/>
        </w:rPr>
        <w:t>, dir. Françoise Buisson, Jane Hentgès, Christelle lacassain-Lagoin et Michael Parsons, Rives (Cahiers de l’Arc Atlantique, Numéro 4), Paris : L’harmattan, 2011, pp.199-215.</w:t>
      </w:r>
    </w:p>
    <w:p w14:paraId="453275DA" w14:textId="77777777" w:rsidR="00091F55" w:rsidRDefault="00091F55" w:rsidP="00091F55">
      <w:pPr>
        <w:tabs>
          <w:tab w:val="left" w:pos="1840"/>
        </w:tabs>
        <w:spacing w:line="240" w:lineRule="atLeast"/>
        <w:ind w:left="1840" w:hanging="1840"/>
        <w:jc w:val="both"/>
        <w:rPr>
          <w:b/>
          <w:u w:val="single"/>
          <w:lang w:val="en-GB"/>
        </w:rPr>
      </w:pPr>
    </w:p>
    <w:p w14:paraId="3BE011A6" w14:textId="00EE8039" w:rsidR="00091F55" w:rsidRPr="001D7684" w:rsidRDefault="00091F55" w:rsidP="00CA70CA">
      <w:pPr>
        <w:tabs>
          <w:tab w:val="left" w:pos="1840"/>
        </w:tabs>
        <w:spacing w:line="240" w:lineRule="atLeast"/>
        <w:jc w:val="both"/>
        <w:rPr>
          <w:lang w:val="en-GB"/>
        </w:rPr>
      </w:pPr>
      <w:r w:rsidRPr="00CF47A9">
        <w:rPr>
          <w:b/>
          <w:i/>
          <w:lang w:val="en-GB"/>
        </w:rPr>
        <w:t>The Clerkenwell Tales</w:t>
      </w:r>
      <w:r w:rsidRPr="001D7684">
        <w:rPr>
          <w:b/>
          <w:lang w:val="en-GB"/>
        </w:rPr>
        <w:t xml:space="preserve"> de Peter Ackroyd: une persistance de la formule chaucérienne?</w:t>
      </w:r>
      <w:r w:rsidR="00CA6EC8">
        <w:rPr>
          <w:lang w:val="en-GB"/>
        </w:rPr>
        <w:t xml:space="preserve"> </w:t>
      </w:r>
      <w:r w:rsidRPr="001D7684">
        <w:rPr>
          <w:i/>
          <w:lang w:val="en-GB"/>
        </w:rPr>
        <w:t>La Formule dans la littérature et la civilisation de l’Angleterre médiévale</w:t>
      </w:r>
      <w:r>
        <w:rPr>
          <w:lang w:val="en-GB"/>
        </w:rPr>
        <w:t xml:space="preserve">, dir. Colette Stévanovitch, Elise Louviot, Philippe Mahoux-Pauzin, Dominique Hascoët, Nancy: </w:t>
      </w:r>
      <w:r w:rsidR="00CA6EC8">
        <w:rPr>
          <w:lang w:val="en-GB"/>
        </w:rPr>
        <w:t>Presses Universitaires de Nancy:</w:t>
      </w:r>
      <w:r>
        <w:rPr>
          <w:lang w:val="en-GB"/>
        </w:rPr>
        <w:t xml:space="preserve"> 2011, pp.273-288.</w:t>
      </w:r>
    </w:p>
    <w:p w14:paraId="1E11E4E6" w14:textId="77777777" w:rsidR="00091F55" w:rsidRDefault="00091F55" w:rsidP="00091F55">
      <w:pPr>
        <w:tabs>
          <w:tab w:val="left" w:pos="1840"/>
        </w:tabs>
        <w:spacing w:line="240" w:lineRule="atLeast"/>
        <w:jc w:val="both"/>
        <w:rPr>
          <w:bCs/>
        </w:rPr>
      </w:pPr>
    </w:p>
    <w:p w14:paraId="2F870BFF" w14:textId="58B9B50A" w:rsidR="00091F55" w:rsidRDefault="00091F55" w:rsidP="00CA70CA">
      <w:pPr>
        <w:tabs>
          <w:tab w:val="left" w:pos="1840"/>
        </w:tabs>
        <w:spacing w:line="240" w:lineRule="atLeast"/>
        <w:jc w:val="both"/>
        <w:rPr>
          <w:bCs/>
        </w:rPr>
      </w:pPr>
      <w:r>
        <w:rPr>
          <w:b/>
          <w:lang w:val="en-GB"/>
        </w:rPr>
        <w:t xml:space="preserve">Chaucer’s </w:t>
      </w:r>
      <w:r>
        <w:rPr>
          <w:b/>
          <w:i/>
          <w:iCs/>
          <w:lang w:val="en-GB"/>
        </w:rPr>
        <w:t>Canterbury Tales</w:t>
      </w:r>
      <w:r>
        <w:rPr>
          <w:b/>
          <w:lang w:val="en-GB"/>
        </w:rPr>
        <w:t xml:space="preserve"> and Pasolini’s </w:t>
      </w:r>
      <w:r>
        <w:rPr>
          <w:b/>
          <w:i/>
          <w:iCs/>
          <w:lang w:val="en-GB"/>
        </w:rPr>
        <w:t>I racconti di Canterbury</w:t>
      </w:r>
      <w:r>
        <w:rPr>
          <w:b/>
          <w:lang w:val="en-GB"/>
        </w:rPr>
        <w:t xml:space="preserve"> : the Evidence of </w:t>
      </w:r>
      <w:r w:rsidR="00CA6EC8">
        <w:rPr>
          <w:b/>
          <w:lang w:val="en-GB"/>
        </w:rPr>
        <w:t xml:space="preserve">Heresy and a Heretic’s Evidence, </w:t>
      </w:r>
      <w:r w:rsidRPr="00CA6EC8">
        <w:rPr>
          <w:bCs/>
          <w:i/>
          <w:lang w:val="en-GB"/>
        </w:rPr>
        <w:t>Pasolini, Fassbinder and Europe: Between Utopia and Nihilism</w:t>
      </w:r>
      <w:r>
        <w:rPr>
          <w:bCs/>
          <w:lang w:val="en-GB"/>
        </w:rPr>
        <w:t>,</w:t>
      </w:r>
      <w:r w:rsidR="00CA6EC8">
        <w:rPr>
          <w:bCs/>
          <w:lang w:val="en-GB"/>
        </w:rPr>
        <w:t xml:space="preserve"> ed. Fabio Vighi &amp; Alexis Nouss,</w:t>
      </w:r>
      <w:r>
        <w:rPr>
          <w:bCs/>
          <w:lang w:val="en-GB"/>
        </w:rPr>
        <w:t xml:space="preserve"> </w:t>
      </w:r>
      <w:r w:rsidRPr="00CA6EC8">
        <w:rPr>
          <w:bCs/>
          <w:lang w:val="en-GB"/>
        </w:rPr>
        <w:t>Cambridge Scholars Publishing</w:t>
      </w:r>
      <w:r w:rsidR="00CA6EC8">
        <w:rPr>
          <w:bCs/>
          <w:lang w:val="en-GB"/>
        </w:rPr>
        <w:t>:</w:t>
      </w:r>
      <w:r>
        <w:rPr>
          <w:bCs/>
          <w:lang w:val="en-GB"/>
        </w:rPr>
        <w:t xml:space="preserve"> 2010, pp.96-107.</w:t>
      </w:r>
    </w:p>
    <w:p w14:paraId="6AE3F134" w14:textId="77777777" w:rsidR="00091F55" w:rsidRDefault="00091F55" w:rsidP="00091F55">
      <w:pPr>
        <w:tabs>
          <w:tab w:val="left" w:pos="1840"/>
        </w:tabs>
        <w:spacing w:line="240" w:lineRule="atLeast"/>
        <w:jc w:val="both"/>
        <w:rPr>
          <w:bCs/>
        </w:rPr>
      </w:pPr>
    </w:p>
    <w:p w14:paraId="45A9413D" w14:textId="67633286" w:rsidR="00091F55" w:rsidRDefault="00091F55" w:rsidP="00CA70CA">
      <w:pPr>
        <w:tabs>
          <w:tab w:val="left" w:pos="1840"/>
        </w:tabs>
        <w:spacing w:line="240" w:lineRule="atLeast"/>
        <w:jc w:val="both"/>
        <w:rPr>
          <w:bCs/>
        </w:rPr>
      </w:pPr>
      <w:r>
        <w:rPr>
          <w:b/>
        </w:rPr>
        <w:t>L’envers du décor du Pays de Cocagne. Mise en perspective du poème anglo-irlandais avec u</w:t>
      </w:r>
      <w:r w:rsidR="00CA6EC8">
        <w:rPr>
          <w:b/>
        </w:rPr>
        <w:t xml:space="preserve">ne version en moyen-néerlandais, </w:t>
      </w:r>
      <w:r>
        <w:rPr>
          <w:bCs/>
        </w:rPr>
        <w:t>Bulletin des Anglicistes Médiévistes (B.A.M.). Paris : Publication de l’A.M.A.E.S., 2010, pp.1-26.</w:t>
      </w:r>
    </w:p>
    <w:p w14:paraId="0938A9FD" w14:textId="77777777" w:rsidR="00091F55" w:rsidRDefault="00091F55" w:rsidP="00091F55">
      <w:pPr>
        <w:tabs>
          <w:tab w:val="left" w:pos="1840"/>
        </w:tabs>
        <w:spacing w:line="240" w:lineRule="atLeast"/>
        <w:ind w:left="1840" w:hanging="1840"/>
        <w:jc w:val="both"/>
        <w:rPr>
          <w:b/>
        </w:rPr>
      </w:pPr>
    </w:p>
    <w:p w14:paraId="5DDE06CE" w14:textId="63962794" w:rsidR="00091F55" w:rsidRDefault="00091F55" w:rsidP="00CA70CA">
      <w:pPr>
        <w:tabs>
          <w:tab w:val="left" w:pos="1840"/>
        </w:tabs>
        <w:spacing w:line="240" w:lineRule="atLeast"/>
        <w:jc w:val="both"/>
        <w:rPr>
          <w:bCs/>
        </w:rPr>
      </w:pPr>
      <w:r>
        <w:rPr>
          <w:b/>
          <w:lang w:val="en-GB"/>
        </w:rPr>
        <w:t xml:space="preserve">Pressure in </w:t>
      </w:r>
      <w:r>
        <w:rPr>
          <w:b/>
          <w:i/>
          <w:iCs/>
          <w:lang w:val="en-GB"/>
        </w:rPr>
        <w:t xml:space="preserve">Everyman. </w:t>
      </w:r>
      <w:r>
        <w:rPr>
          <w:bCs/>
        </w:rPr>
        <w:t xml:space="preserve">Everyman. </w:t>
      </w:r>
      <w:r>
        <w:rPr>
          <w:bCs/>
          <w:i/>
          <w:iCs/>
        </w:rPr>
        <w:t>Lectures critiques et documents</w:t>
      </w:r>
      <w:r>
        <w:rPr>
          <w:bCs/>
        </w:rPr>
        <w:t xml:space="preserve">. Vol. préparé par Florence Bourgne. Paris : Publications de l’A.M.A.E.S. (30), 2009, pp.117-132. </w:t>
      </w:r>
    </w:p>
    <w:p w14:paraId="29B7FA02" w14:textId="77777777" w:rsidR="00091F55" w:rsidRDefault="00091F55" w:rsidP="00091F55">
      <w:pPr>
        <w:tabs>
          <w:tab w:val="left" w:pos="1840"/>
        </w:tabs>
        <w:spacing w:line="240" w:lineRule="atLeast"/>
        <w:ind w:left="1840" w:hanging="1840"/>
        <w:jc w:val="both"/>
        <w:rPr>
          <w:b/>
        </w:rPr>
      </w:pPr>
    </w:p>
    <w:p w14:paraId="11FEEB28" w14:textId="12793DFF" w:rsidR="00091F55" w:rsidRDefault="00091F55" w:rsidP="00CA70CA">
      <w:pPr>
        <w:tabs>
          <w:tab w:val="left" w:pos="1840"/>
        </w:tabs>
        <w:spacing w:line="240" w:lineRule="atLeast"/>
        <w:jc w:val="both"/>
        <w:rPr>
          <w:bCs/>
        </w:rPr>
      </w:pPr>
      <w:r>
        <w:rPr>
          <w:b/>
          <w:i/>
          <w:iCs/>
        </w:rPr>
        <w:t>Everyman</w:t>
      </w:r>
      <w:r>
        <w:rPr>
          <w:b/>
        </w:rPr>
        <w:t xml:space="preserve"> et </w:t>
      </w:r>
      <w:r>
        <w:rPr>
          <w:b/>
          <w:i/>
          <w:iCs/>
        </w:rPr>
        <w:t>Elckerlijc</w:t>
      </w:r>
      <w:r>
        <w:rPr>
          <w:b/>
        </w:rPr>
        <w:t> : échos et réf</w:t>
      </w:r>
      <w:r w:rsidR="00CA6EC8">
        <w:rPr>
          <w:b/>
        </w:rPr>
        <w:t xml:space="preserve">ractions, </w:t>
      </w:r>
      <w:r>
        <w:rPr>
          <w:bCs/>
          <w:i/>
          <w:iCs/>
        </w:rPr>
        <w:t>Everyman</w:t>
      </w:r>
      <w:r w:rsidR="00CA6EC8">
        <w:rPr>
          <w:bCs/>
        </w:rPr>
        <w:t>, é</w:t>
      </w:r>
      <w:r>
        <w:rPr>
          <w:bCs/>
        </w:rPr>
        <w:t xml:space="preserve">d. Elise Louviot, Colette Stevanovitch, Philippe Mahoux et Dominique Hascoët. Nancy : Publications A.M.A.E.S. Collection « Grendel » 10, 2009, pp.189-204. </w:t>
      </w:r>
    </w:p>
    <w:p w14:paraId="14E42A68" w14:textId="77777777" w:rsidR="00CA6EC8" w:rsidRDefault="00CA6EC8" w:rsidP="00091F55">
      <w:pPr>
        <w:tabs>
          <w:tab w:val="left" w:pos="1840"/>
        </w:tabs>
        <w:spacing w:line="240" w:lineRule="atLeast"/>
        <w:ind w:left="1840" w:hanging="1840"/>
        <w:jc w:val="both"/>
        <w:rPr>
          <w:bCs/>
        </w:rPr>
      </w:pPr>
    </w:p>
    <w:p w14:paraId="55A000DC" w14:textId="77777777" w:rsidR="00CA70CA" w:rsidRDefault="00091F55" w:rsidP="00091F55">
      <w:pPr>
        <w:tabs>
          <w:tab w:val="left" w:pos="1840"/>
        </w:tabs>
        <w:spacing w:line="240" w:lineRule="atLeast"/>
        <w:jc w:val="both"/>
        <w:rPr>
          <w:bCs/>
        </w:rPr>
      </w:pPr>
      <w:r>
        <w:rPr>
          <w:b/>
          <w:i/>
          <w:iCs/>
        </w:rPr>
        <w:t>The Canterbury Tales</w:t>
      </w:r>
      <w:r>
        <w:rPr>
          <w:b/>
        </w:rPr>
        <w:t xml:space="preserve"> et </w:t>
      </w:r>
      <w:r>
        <w:rPr>
          <w:b/>
          <w:i/>
          <w:iCs/>
        </w:rPr>
        <w:t>The Clerkenwell Tales</w:t>
      </w:r>
      <w:r>
        <w:rPr>
          <w:b/>
        </w:rPr>
        <w:t xml:space="preserve"> : de la poésie de Chaucer à la prose de Peter Ackroyd, une expérimentation de la </w:t>
      </w:r>
      <w:r w:rsidR="00E05E8A">
        <w:rPr>
          <w:b/>
        </w:rPr>
        <w:t xml:space="preserve">forme proématique, </w:t>
      </w:r>
      <w:r>
        <w:rPr>
          <w:bCs/>
        </w:rPr>
        <w:t>Bulletin des Anglicistes Médiévistes (B.A.M.). Paris : Publication de l’A.M.A.E.S. (n°74), 2008, pp.71-90.</w:t>
      </w:r>
    </w:p>
    <w:p w14:paraId="2301D12D" w14:textId="77777777" w:rsidR="00CA70CA" w:rsidRDefault="00CA70CA" w:rsidP="00091F55">
      <w:pPr>
        <w:tabs>
          <w:tab w:val="left" w:pos="1840"/>
        </w:tabs>
        <w:spacing w:line="240" w:lineRule="atLeast"/>
        <w:jc w:val="both"/>
        <w:rPr>
          <w:bCs/>
        </w:rPr>
      </w:pPr>
    </w:p>
    <w:p w14:paraId="37AEBCC5" w14:textId="764DD56E" w:rsidR="00091F55" w:rsidRDefault="00091F55" w:rsidP="00091F55">
      <w:pPr>
        <w:tabs>
          <w:tab w:val="left" w:pos="1840"/>
        </w:tabs>
        <w:spacing w:line="240" w:lineRule="atLeast"/>
        <w:jc w:val="both"/>
        <w:rPr>
          <w:bCs/>
        </w:rPr>
      </w:pPr>
      <w:r>
        <w:rPr>
          <w:b/>
        </w:rPr>
        <w:t>Beowulf et sa "parentèle" cinématographique, "race maudite"?</w:t>
      </w:r>
      <w:r w:rsidR="00E05E8A">
        <w:rPr>
          <w:b/>
        </w:rPr>
        <w:t xml:space="preserve">, </w:t>
      </w:r>
    </w:p>
    <w:p w14:paraId="458C9AC5" w14:textId="17C27AB3" w:rsidR="00091F55" w:rsidRDefault="00E05E8A" w:rsidP="00CA70CA">
      <w:pPr>
        <w:tabs>
          <w:tab w:val="left" w:pos="1840"/>
        </w:tabs>
        <w:spacing w:line="240" w:lineRule="atLeast"/>
        <w:jc w:val="both"/>
        <w:rPr>
          <w:b/>
        </w:rPr>
      </w:pPr>
      <w:r>
        <w:rPr>
          <w:bCs/>
        </w:rPr>
        <w:t xml:space="preserve">Bulletin des Anglicsistes Médiévistes (B.A.M.) </w:t>
      </w:r>
      <w:r w:rsidR="00091F55">
        <w:rPr>
          <w:bCs/>
        </w:rPr>
        <w:t xml:space="preserve">n°73 été 2008, publication de l’A.M.A.E.S., pp.1-46. </w:t>
      </w:r>
    </w:p>
    <w:p w14:paraId="3E1A632A" w14:textId="77777777" w:rsidR="00091F55" w:rsidRDefault="00091F55" w:rsidP="00091F55">
      <w:pPr>
        <w:tabs>
          <w:tab w:val="left" w:pos="1840"/>
        </w:tabs>
        <w:spacing w:line="240" w:lineRule="atLeast"/>
        <w:ind w:left="1840" w:hanging="1840"/>
        <w:jc w:val="both"/>
        <w:rPr>
          <w:b/>
        </w:rPr>
      </w:pPr>
    </w:p>
    <w:p w14:paraId="155B15CE" w14:textId="1AE9E638" w:rsidR="00091F55" w:rsidRDefault="00091F55" w:rsidP="00CA70CA">
      <w:pPr>
        <w:tabs>
          <w:tab w:val="left" w:pos="1840"/>
        </w:tabs>
        <w:spacing w:line="240" w:lineRule="atLeast"/>
        <w:jc w:val="both"/>
        <w:rPr>
          <w:bCs/>
        </w:rPr>
      </w:pPr>
      <w:r>
        <w:rPr>
          <w:b/>
          <w:i/>
          <w:iCs/>
        </w:rPr>
        <w:t>The Land of Cockaigne</w:t>
      </w:r>
      <w:r w:rsidR="00E05E8A">
        <w:rPr>
          <w:b/>
        </w:rPr>
        <w:t xml:space="preserve"> : un jardin des délices, </w:t>
      </w:r>
      <w:r>
        <w:rPr>
          <w:bCs/>
        </w:rPr>
        <w:t xml:space="preserve">MEDIEVALES 44, </w:t>
      </w:r>
      <w:r w:rsidR="00E05E8A">
        <w:rPr>
          <w:bCs/>
        </w:rPr>
        <w:t xml:space="preserve">éd. </w:t>
      </w:r>
      <w:r>
        <w:rPr>
          <w:bCs/>
        </w:rPr>
        <w:t>Danielle Buschinger et Arlette Sancery. Mélanges de langue, littérature et civilisation offerts à André Crépin à l’occasion de son quatre-vingtième anniversaire. Presses du Centre d’Etudes Médiévales, Université de Picardie-Jules Verne, Amiens 2008, pp.32-37.</w:t>
      </w:r>
    </w:p>
    <w:p w14:paraId="6260479E" w14:textId="77777777" w:rsidR="00091F55" w:rsidRDefault="00091F55" w:rsidP="00091F55">
      <w:pPr>
        <w:tabs>
          <w:tab w:val="left" w:pos="1840"/>
        </w:tabs>
        <w:spacing w:line="240" w:lineRule="atLeast"/>
        <w:ind w:left="1840" w:hanging="1840"/>
        <w:jc w:val="both"/>
        <w:rPr>
          <w:b/>
        </w:rPr>
      </w:pPr>
    </w:p>
    <w:p w14:paraId="22A852B0" w14:textId="1A31A6DF" w:rsidR="00091F55" w:rsidRDefault="00091F55" w:rsidP="00CA70CA">
      <w:pPr>
        <w:tabs>
          <w:tab w:val="left" w:pos="1840"/>
        </w:tabs>
        <w:spacing w:line="240" w:lineRule="atLeast"/>
        <w:jc w:val="both"/>
        <w:rPr>
          <w:bCs/>
        </w:rPr>
      </w:pPr>
      <w:r>
        <w:rPr>
          <w:b/>
        </w:rPr>
        <w:t xml:space="preserve">L’élément médiéval : corps étranger dans </w:t>
      </w:r>
      <w:r>
        <w:rPr>
          <w:b/>
          <w:i/>
          <w:iCs/>
        </w:rPr>
        <w:t xml:space="preserve">The Legend of Sleepy Hollow </w:t>
      </w:r>
      <w:r w:rsidR="00E05E8A">
        <w:rPr>
          <w:b/>
        </w:rPr>
        <w:t xml:space="preserve">de Washington Irving, </w:t>
      </w:r>
      <w:r w:rsidR="00E05E8A">
        <w:t xml:space="preserve">Bulletind es Anglicistes Médiévistes (B.A.M.) </w:t>
      </w:r>
      <w:r w:rsidR="00F0511B">
        <w:rPr>
          <w:bCs/>
        </w:rPr>
        <w:t>n°29 hors-série. Textes réunis</w:t>
      </w:r>
      <w:r w:rsidR="00E05E8A">
        <w:rPr>
          <w:bCs/>
        </w:rPr>
        <w:t xml:space="preserve"> par Agnès Blandeau. </w:t>
      </w:r>
      <w:r>
        <w:rPr>
          <w:bCs/>
        </w:rPr>
        <w:t xml:space="preserve">Publications de l’Association des Anglicistes Médiévistes de l’Enseignement Supérieur, </w:t>
      </w:r>
      <w:r>
        <w:rPr>
          <w:bCs/>
          <w:i/>
          <w:iCs/>
        </w:rPr>
        <w:t>Etrange Etranger, Actes de l’atelier « Moyen Age » du 46</w:t>
      </w:r>
      <w:r>
        <w:rPr>
          <w:bCs/>
          <w:i/>
          <w:iCs/>
          <w:vertAlign w:val="superscript"/>
        </w:rPr>
        <w:t>e</w:t>
      </w:r>
      <w:r>
        <w:rPr>
          <w:bCs/>
          <w:i/>
          <w:iCs/>
        </w:rPr>
        <w:t xml:space="preserve"> Congrès de la SAES</w:t>
      </w:r>
      <w:r w:rsidR="00E05E8A">
        <w:rPr>
          <w:bCs/>
        </w:rPr>
        <w:t xml:space="preserve">, Nantes : 2006, </w:t>
      </w:r>
      <w:r>
        <w:rPr>
          <w:bCs/>
        </w:rPr>
        <w:t xml:space="preserve">pp.103-121. </w:t>
      </w:r>
    </w:p>
    <w:p w14:paraId="2E78FF0F" w14:textId="77777777" w:rsidR="00091F55" w:rsidRDefault="00091F55" w:rsidP="00091F55">
      <w:pPr>
        <w:tabs>
          <w:tab w:val="left" w:pos="1840"/>
        </w:tabs>
        <w:spacing w:line="240" w:lineRule="atLeast"/>
        <w:ind w:left="1840" w:hanging="1840"/>
        <w:jc w:val="both"/>
        <w:rPr>
          <w:b/>
        </w:rPr>
      </w:pPr>
    </w:p>
    <w:p w14:paraId="72DDA31C" w14:textId="7DDB7926" w:rsidR="00091F55" w:rsidRDefault="00091F55" w:rsidP="00CA70CA">
      <w:pPr>
        <w:tabs>
          <w:tab w:val="left" w:pos="1840"/>
        </w:tabs>
        <w:spacing w:line="240" w:lineRule="atLeast"/>
        <w:jc w:val="both"/>
        <w:rPr>
          <w:bCs/>
        </w:rPr>
      </w:pPr>
      <w:r>
        <w:rPr>
          <w:b/>
        </w:rPr>
        <w:t xml:space="preserve">Perception du moyen âge au cinéma : mises en scène des </w:t>
      </w:r>
      <w:r>
        <w:rPr>
          <w:b/>
          <w:i/>
          <w:iCs/>
        </w:rPr>
        <w:t xml:space="preserve">Canterbury Tales </w:t>
      </w:r>
      <w:r w:rsidR="00E05E8A">
        <w:rPr>
          <w:b/>
        </w:rPr>
        <w:t xml:space="preserve">de Chaucer, </w:t>
      </w:r>
      <w:r>
        <w:rPr>
          <w:bCs/>
          <w:i/>
          <w:iCs/>
        </w:rPr>
        <w:t>Le Moyen Age mis en scène : perspectives contemporaines</w:t>
      </w:r>
      <w:r>
        <w:rPr>
          <w:bCs/>
        </w:rPr>
        <w:t>, textes réunis par Sandra Gorgievski et Xavier Leroux</w:t>
      </w:r>
      <w:r w:rsidR="00E05E8A">
        <w:rPr>
          <w:bCs/>
        </w:rPr>
        <w:t xml:space="preserve">. Revue </w:t>
      </w:r>
      <w:r w:rsidR="00E05E8A" w:rsidRPr="00E05E8A">
        <w:rPr>
          <w:bCs/>
          <w:i/>
        </w:rPr>
        <w:t>Babel (Langages, imaginaires, civilisations)</w:t>
      </w:r>
      <w:r w:rsidR="00E05E8A">
        <w:rPr>
          <w:bCs/>
        </w:rPr>
        <w:t>, n°15,</w:t>
      </w:r>
      <w:r w:rsidR="00E05E8A" w:rsidRPr="00E05E8A">
        <w:rPr>
          <w:bCs/>
        </w:rPr>
        <w:t xml:space="preserve"> </w:t>
      </w:r>
      <w:r w:rsidR="00E05E8A">
        <w:rPr>
          <w:bCs/>
        </w:rPr>
        <w:t xml:space="preserve">Université du Sud Toulon-Var, Faculté des Lettres et Sciences Humaines, 2007, pp17-31. </w:t>
      </w:r>
    </w:p>
    <w:p w14:paraId="3BC76002" w14:textId="77777777" w:rsidR="00091F55" w:rsidRDefault="00091F55" w:rsidP="00091F55">
      <w:pPr>
        <w:tabs>
          <w:tab w:val="left" w:pos="1840"/>
        </w:tabs>
        <w:spacing w:line="240" w:lineRule="atLeast"/>
        <w:jc w:val="both"/>
        <w:rPr>
          <w:bCs/>
          <w:lang w:val="en-GB"/>
        </w:rPr>
      </w:pPr>
    </w:p>
    <w:p w14:paraId="247634A9" w14:textId="67C39339" w:rsidR="00091F55" w:rsidRPr="00E05E8A" w:rsidRDefault="00091F55" w:rsidP="00CA70CA">
      <w:pPr>
        <w:tabs>
          <w:tab w:val="left" w:pos="1840"/>
        </w:tabs>
        <w:spacing w:line="240" w:lineRule="atLeast"/>
        <w:jc w:val="both"/>
        <w:rPr>
          <w:b/>
          <w:lang w:val="en-GB"/>
        </w:rPr>
      </w:pPr>
      <w:r>
        <w:rPr>
          <w:b/>
          <w:lang w:val="en-GB"/>
        </w:rPr>
        <w:t xml:space="preserve">The Trader’s Time and Narrative Time in Chaucer’s </w:t>
      </w:r>
      <w:r w:rsidR="00E05E8A">
        <w:rPr>
          <w:b/>
          <w:i/>
          <w:iCs/>
          <w:lang w:val="en-GB"/>
        </w:rPr>
        <w:t xml:space="preserve">Canterbury </w:t>
      </w:r>
      <w:r w:rsidR="00E05E8A" w:rsidRPr="00E05E8A">
        <w:rPr>
          <w:iCs/>
          <w:lang w:val="en-GB"/>
        </w:rPr>
        <w:t>Tales</w:t>
      </w:r>
      <w:r w:rsidR="00E05E8A">
        <w:rPr>
          <w:iCs/>
          <w:lang w:val="en-GB"/>
        </w:rPr>
        <w:t xml:space="preserve">, Bulletin des Anglicistes Médiévistes (B.A.M.) </w:t>
      </w:r>
      <w:r w:rsidRPr="00E05E8A">
        <w:rPr>
          <w:bCs/>
        </w:rPr>
        <w:t>n</w:t>
      </w:r>
      <w:r w:rsidR="00E05E8A">
        <w:rPr>
          <w:bCs/>
        </w:rPr>
        <w:t xml:space="preserve">°72 Hiver, </w:t>
      </w:r>
      <w:r w:rsidR="00F0511B">
        <w:rPr>
          <w:bCs/>
        </w:rPr>
        <w:t>p</w:t>
      </w:r>
      <w:r>
        <w:rPr>
          <w:bCs/>
        </w:rPr>
        <w:t>ublications de l’AMAES,</w:t>
      </w:r>
      <w:r w:rsidR="00F0511B">
        <w:rPr>
          <w:bCs/>
        </w:rPr>
        <w:t xml:space="preserve"> 2007,</w:t>
      </w:r>
      <w:r>
        <w:rPr>
          <w:bCs/>
        </w:rPr>
        <w:t xml:space="preserve"> pp.21-29. </w:t>
      </w:r>
    </w:p>
    <w:p w14:paraId="65CEF4E9" w14:textId="77777777" w:rsidR="00091F55" w:rsidRDefault="00091F55" w:rsidP="00091F55">
      <w:pPr>
        <w:tabs>
          <w:tab w:val="left" w:pos="1840"/>
        </w:tabs>
        <w:spacing w:line="240" w:lineRule="atLeast"/>
        <w:ind w:left="1840" w:hanging="1840"/>
        <w:jc w:val="both"/>
        <w:rPr>
          <w:bCs/>
        </w:rPr>
      </w:pPr>
    </w:p>
    <w:p w14:paraId="4F966D5A" w14:textId="54F3EB9D" w:rsidR="00091F55" w:rsidRDefault="00091F55" w:rsidP="00CA70CA">
      <w:pPr>
        <w:tabs>
          <w:tab w:val="left" w:pos="1840"/>
        </w:tabs>
        <w:spacing w:line="240" w:lineRule="atLeast"/>
        <w:jc w:val="both"/>
        <w:rPr>
          <w:bCs/>
        </w:rPr>
      </w:pPr>
      <w:r>
        <w:rPr>
          <w:b/>
        </w:rPr>
        <w:t>Les liens adelphiques dans quelques textes du moyen âge : « ce surgissement des violences au s</w:t>
      </w:r>
      <w:r w:rsidR="00F0511B">
        <w:rPr>
          <w:b/>
        </w:rPr>
        <w:t>ein des alliances »</w:t>
      </w:r>
      <w:r w:rsidR="00F0511B">
        <w:t xml:space="preserve">, </w:t>
      </w:r>
      <w:r>
        <w:rPr>
          <w:bCs/>
          <w:i/>
          <w:iCs/>
        </w:rPr>
        <w:t>Frères et sœurs: les liens adelphiques dans l'Occident antique et médiéval</w:t>
      </w:r>
      <w:r>
        <w:rPr>
          <w:bCs/>
        </w:rPr>
        <w:t>, éd. Sophie Cassagnes-Brouquet et Martine Yvernault, Turnhout, Belgium: Brepols Publishers, 2007, pp.229-236.</w:t>
      </w:r>
    </w:p>
    <w:p w14:paraId="58EE0650" w14:textId="77777777" w:rsidR="00FF72CC" w:rsidRDefault="00FF72CC"/>
    <w:sectPr w:rsidR="00FF72CC" w:rsidSect="00602A1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B"/>
    <w:rsid w:val="00091F55"/>
    <w:rsid w:val="000A6024"/>
    <w:rsid w:val="00172B6C"/>
    <w:rsid w:val="0017747F"/>
    <w:rsid w:val="00275045"/>
    <w:rsid w:val="00416D9D"/>
    <w:rsid w:val="00525F74"/>
    <w:rsid w:val="00602A1C"/>
    <w:rsid w:val="006A68FB"/>
    <w:rsid w:val="00935CCF"/>
    <w:rsid w:val="009A5C3C"/>
    <w:rsid w:val="009B2043"/>
    <w:rsid w:val="00A033DE"/>
    <w:rsid w:val="00A92370"/>
    <w:rsid w:val="00CA6EC8"/>
    <w:rsid w:val="00CA70CA"/>
    <w:rsid w:val="00CF025B"/>
    <w:rsid w:val="00D9403B"/>
    <w:rsid w:val="00E05E8A"/>
    <w:rsid w:val="00EA1AC8"/>
    <w:rsid w:val="00F0511B"/>
    <w:rsid w:val="00FE5030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5283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F55"/>
    <w:rPr>
      <w:rFonts w:ascii="Times New Roman" w:eastAsia="Times New Roman" w:hAnsi="Times New Roman" w:cs="Times New Roman"/>
      <w:noProof/>
      <w:lang w:val="fr-FR"/>
    </w:rPr>
  </w:style>
  <w:style w:type="paragraph" w:styleId="Titre2">
    <w:name w:val="heading 2"/>
    <w:basedOn w:val="Normal"/>
    <w:next w:val="Normal"/>
    <w:link w:val="Titre2Car"/>
    <w:qFormat/>
    <w:rsid w:val="00091F55"/>
    <w:pPr>
      <w:keepNext/>
      <w:tabs>
        <w:tab w:val="left" w:pos="1840"/>
      </w:tabs>
      <w:spacing w:line="240" w:lineRule="atLeast"/>
      <w:ind w:left="1840" w:hanging="1840"/>
      <w:outlineLvl w:val="1"/>
    </w:pPr>
    <w:rPr>
      <w:rFonts w:ascii="Times" w:hAnsi="Times"/>
      <w:b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91F55"/>
    <w:rPr>
      <w:rFonts w:ascii="Times" w:eastAsia="Times New Roman" w:hAnsi="Times" w:cs="Times New Roman"/>
      <w:b/>
      <w:noProof/>
      <w:szCs w:val="20"/>
      <w:lang w:val="fr-FR"/>
    </w:rPr>
  </w:style>
  <w:style w:type="character" w:styleId="Lienhypertexte">
    <w:name w:val="Hyperlink"/>
    <w:basedOn w:val="Policepardfaut"/>
    <w:unhideWhenUsed/>
    <w:rsid w:val="009B20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F55"/>
    <w:rPr>
      <w:rFonts w:ascii="Times New Roman" w:eastAsia="Times New Roman" w:hAnsi="Times New Roman" w:cs="Times New Roman"/>
      <w:noProof/>
      <w:lang w:val="fr-FR"/>
    </w:rPr>
  </w:style>
  <w:style w:type="paragraph" w:styleId="Titre2">
    <w:name w:val="heading 2"/>
    <w:basedOn w:val="Normal"/>
    <w:next w:val="Normal"/>
    <w:link w:val="Titre2Car"/>
    <w:qFormat/>
    <w:rsid w:val="00091F55"/>
    <w:pPr>
      <w:keepNext/>
      <w:tabs>
        <w:tab w:val="left" w:pos="1840"/>
      </w:tabs>
      <w:spacing w:line="240" w:lineRule="atLeast"/>
      <w:ind w:left="1840" w:hanging="1840"/>
      <w:outlineLvl w:val="1"/>
    </w:pPr>
    <w:rPr>
      <w:rFonts w:ascii="Times" w:hAnsi="Times"/>
      <w:b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91F55"/>
    <w:rPr>
      <w:rFonts w:ascii="Times" w:eastAsia="Times New Roman" w:hAnsi="Times" w:cs="Times New Roman"/>
      <w:b/>
      <w:noProof/>
      <w:szCs w:val="20"/>
      <w:lang w:val="fr-FR"/>
    </w:rPr>
  </w:style>
  <w:style w:type="character" w:styleId="Lienhypertexte">
    <w:name w:val="Hyperlink"/>
    <w:basedOn w:val="Policepardfaut"/>
    <w:unhideWhenUsed/>
    <w:rsid w:val="009B2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revue.etudes-episteme.org/?loyalty-and-treason-in-some-middle" TargetMode="External"/><Relationship Id="rId6" Type="http://schemas.openxmlformats.org/officeDocument/2006/relationships/hyperlink" Target="http://www.awpreview.univ-paris-diderot.fr/spip.php?article26" TargetMode="External"/><Relationship Id="rId7" Type="http://schemas.openxmlformats.org/officeDocument/2006/relationships/hyperlink" Target="http://www.awpreview.univ-paris-diderot.fr/IMG/pdf/2.1_5_blandeau_powell_8nov2013.pd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1290</Words>
  <Characters>7101</Characters>
  <Application>Microsoft Macintosh Word</Application>
  <DocSecurity>0</DocSecurity>
  <Lines>59</Lines>
  <Paragraphs>16</Paragraphs>
  <ScaleCrop>false</ScaleCrop>
  <Company>Université de Nantes</Company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Blandeau</dc:creator>
  <cp:keywords/>
  <dc:description/>
  <cp:lastModifiedBy>Agnes Blandeau</cp:lastModifiedBy>
  <cp:revision>17</cp:revision>
  <dcterms:created xsi:type="dcterms:W3CDTF">2013-09-12T13:58:00Z</dcterms:created>
  <dcterms:modified xsi:type="dcterms:W3CDTF">2015-03-05T11:17:00Z</dcterms:modified>
</cp:coreProperties>
</file>